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0A699C" w:rsidP="009B29BC">
      <w:pPr>
        <w:jc w:val="center"/>
      </w:pPr>
    </w:p>
    <w:p w:rsidR="009B29BC" w:rsidRPr="009B29BC" w:rsidRDefault="009B29BC" w:rsidP="009B29BC">
      <w:pPr>
        <w:jc w:val="center"/>
      </w:pPr>
    </w:p>
    <w:tbl>
      <w:tblPr>
        <w:tblW w:w="4340" w:type="dxa"/>
        <w:tblInd w:w="5428" w:type="dxa"/>
        <w:tblLayout w:type="fixed"/>
        <w:tblLook w:val="0000"/>
      </w:tblPr>
      <w:tblGrid>
        <w:gridCol w:w="4340"/>
      </w:tblGrid>
      <w:tr w:rsidR="00087F78" w:rsidRPr="00561930" w:rsidTr="004E7102">
        <w:tc>
          <w:tcPr>
            <w:tcW w:w="4340" w:type="dxa"/>
          </w:tcPr>
          <w:p w:rsidR="00087F78" w:rsidRPr="006C17FB" w:rsidRDefault="00087F78" w:rsidP="00087F78">
            <w:pPr>
              <w:pStyle w:val="a3"/>
              <w:spacing w:line="240" w:lineRule="exact"/>
              <w:jc w:val="center"/>
              <w:rPr>
                <w:szCs w:val="28"/>
              </w:rPr>
            </w:pPr>
            <w:r w:rsidRPr="006C17FB">
              <w:rPr>
                <w:szCs w:val="28"/>
              </w:rPr>
              <w:t>Утвержден</w:t>
            </w:r>
          </w:p>
        </w:tc>
      </w:tr>
      <w:tr w:rsidR="00087F78" w:rsidRPr="00087F78" w:rsidTr="004E7102">
        <w:tc>
          <w:tcPr>
            <w:tcW w:w="4340" w:type="dxa"/>
          </w:tcPr>
          <w:p w:rsidR="00087F78" w:rsidRPr="00087F78" w:rsidRDefault="00087F78" w:rsidP="00087F78">
            <w:pPr>
              <w:pStyle w:val="a3"/>
              <w:spacing w:line="240" w:lineRule="exact"/>
              <w:jc w:val="center"/>
              <w:rPr>
                <w:szCs w:val="28"/>
              </w:rPr>
            </w:pPr>
            <w:r w:rsidRPr="00087F78">
              <w:rPr>
                <w:szCs w:val="28"/>
              </w:rPr>
              <w:t>решением Думы Маловишерского</w:t>
            </w:r>
          </w:p>
          <w:p w:rsidR="00087F78" w:rsidRPr="00087F78" w:rsidRDefault="00087F78" w:rsidP="00087F78">
            <w:pPr>
              <w:pStyle w:val="a3"/>
              <w:spacing w:line="240" w:lineRule="exact"/>
              <w:jc w:val="center"/>
              <w:rPr>
                <w:szCs w:val="28"/>
              </w:rPr>
            </w:pPr>
            <w:r w:rsidRPr="00087F78">
              <w:rPr>
                <w:szCs w:val="28"/>
              </w:rPr>
              <w:t>муниципального района</w:t>
            </w:r>
          </w:p>
          <w:p w:rsidR="00087F78" w:rsidRPr="00087F78" w:rsidRDefault="00087F78" w:rsidP="00087F78">
            <w:pPr>
              <w:pStyle w:val="a3"/>
              <w:spacing w:line="240" w:lineRule="exact"/>
              <w:jc w:val="center"/>
              <w:rPr>
                <w:szCs w:val="28"/>
              </w:rPr>
            </w:pPr>
            <w:r w:rsidRPr="00087F78">
              <w:rPr>
                <w:szCs w:val="28"/>
              </w:rPr>
              <w:t xml:space="preserve"> Новгородской области</w:t>
            </w:r>
          </w:p>
          <w:p w:rsidR="00087F78" w:rsidRPr="00087F78" w:rsidRDefault="00087F78" w:rsidP="0009630E">
            <w:pPr>
              <w:pStyle w:val="a3"/>
              <w:spacing w:line="240" w:lineRule="exact"/>
              <w:jc w:val="center"/>
              <w:rPr>
                <w:szCs w:val="28"/>
              </w:rPr>
            </w:pPr>
            <w:r w:rsidRPr="00087F78">
              <w:rPr>
                <w:szCs w:val="28"/>
              </w:rPr>
              <w:t>от 26</w:t>
            </w:r>
            <w:r w:rsidR="0009630E">
              <w:rPr>
                <w:szCs w:val="28"/>
              </w:rPr>
              <w:t>.12.</w:t>
            </w:r>
            <w:r w:rsidRPr="00087F78">
              <w:rPr>
                <w:szCs w:val="28"/>
              </w:rPr>
              <w:t>2022 №575</w:t>
            </w:r>
          </w:p>
        </w:tc>
      </w:tr>
    </w:tbl>
    <w:p w:rsidR="00087F78" w:rsidRPr="00087F78" w:rsidRDefault="00087F78" w:rsidP="00087F78">
      <w:pPr>
        <w:pStyle w:val="af"/>
        <w:spacing w:before="0" w:beforeAutospacing="0" w:after="0" w:afterAutospacing="0"/>
        <w:jc w:val="center"/>
        <w:rPr>
          <w:rStyle w:val="af3"/>
          <w:rFonts w:ascii="Times New Roman" w:hAnsi="Times New Roman"/>
          <w:sz w:val="32"/>
          <w:szCs w:val="32"/>
        </w:rPr>
      </w:pPr>
    </w:p>
    <w:p w:rsidR="00087F78" w:rsidRPr="00087F78" w:rsidRDefault="00087F78" w:rsidP="00087F78">
      <w:pPr>
        <w:pStyle w:val="af"/>
        <w:spacing w:before="0" w:beforeAutospacing="0" w:after="0" w:afterAutospacing="0"/>
        <w:jc w:val="center"/>
        <w:rPr>
          <w:rFonts w:ascii="Times New Roman" w:hAnsi="Times New Roman"/>
          <w:b/>
          <w:bCs/>
          <w:sz w:val="28"/>
          <w:szCs w:val="28"/>
        </w:rPr>
      </w:pPr>
      <w:r w:rsidRPr="00087F78">
        <w:rPr>
          <w:rFonts w:ascii="Times New Roman" w:hAnsi="Times New Roman"/>
          <w:b/>
          <w:bCs/>
          <w:sz w:val="28"/>
          <w:szCs w:val="28"/>
        </w:rPr>
        <w:t xml:space="preserve">Ежегодный отчет о деятельности </w:t>
      </w:r>
    </w:p>
    <w:p w:rsidR="00087F78" w:rsidRPr="00087F78" w:rsidRDefault="00087F78" w:rsidP="00087F78">
      <w:pPr>
        <w:pStyle w:val="af"/>
        <w:spacing w:before="0" w:beforeAutospacing="0" w:after="0" w:afterAutospacing="0"/>
        <w:jc w:val="center"/>
        <w:rPr>
          <w:rFonts w:ascii="Times New Roman" w:hAnsi="Times New Roman"/>
          <w:b/>
          <w:bCs/>
          <w:sz w:val="28"/>
          <w:szCs w:val="28"/>
        </w:rPr>
      </w:pPr>
      <w:r w:rsidRPr="00087F78">
        <w:rPr>
          <w:rFonts w:ascii="Times New Roman" w:hAnsi="Times New Roman"/>
          <w:b/>
          <w:bCs/>
          <w:sz w:val="28"/>
          <w:szCs w:val="28"/>
        </w:rPr>
        <w:t>Счётной палаты Маловишерского муниципального района Новгородской</w:t>
      </w:r>
      <w:r w:rsidRPr="00087F78">
        <w:rPr>
          <w:rFonts w:ascii="Times New Roman" w:hAnsi="Times New Roman"/>
          <w:b/>
          <w:bCs/>
          <w:sz w:val="28"/>
          <w:szCs w:val="28"/>
        </w:rPr>
        <w:tab/>
        <w:t>области,  результатах проведенных контрольных и экспертно- аналитических мероприятий в 2022 году</w:t>
      </w:r>
    </w:p>
    <w:p w:rsidR="00087F78" w:rsidRPr="00087F78" w:rsidRDefault="00087F78" w:rsidP="00087F78">
      <w:pPr>
        <w:pStyle w:val="af"/>
        <w:spacing w:before="0" w:beforeAutospacing="0" w:after="0" w:afterAutospacing="0"/>
        <w:jc w:val="center"/>
        <w:rPr>
          <w:rFonts w:ascii="Times New Roman" w:hAnsi="Times New Roman"/>
          <w:b/>
          <w:bCs/>
          <w:sz w:val="28"/>
          <w:szCs w:val="28"/>
        </w:rPr>
      </w:pPr>
    </w:p>
    <w:p w:rsidR="00087F78" w:rsidRPr="00087F78" w:rsidRDefault="00087F78" w:rsidP="00087F78">
      <w:pPr>
        <w:pStyle w:val="af"/>
        <w:spacing w:before="0" w:beforeAutospacing="0" w:after="0" w:afterAutospacing="0"/>
        <w:jc w:val="both"/>
        <w:rPr>
          <w:rStyle w:val="af3"/>
          <w:rFonts w:ascii="Times New Roman" w:hAnsi="Times New Roman"/>
          <w:b w:val="0"/>
          <w:sz w:val="28"/>
          <w:szCs w:val="28"/>
        </w:rPr>
      </w:pPr>
      <w:r w:rsidRPr="00087F78">
        <w:rPr>
          <w:rFonts w:ascii="Times New Roman" w:hAnsi="Times New Roman"/>
          <w:sz w:val="28"/>
          <w:szCs w:val="28"/>
        </w:rPr>
        <w:t xml:space="preserve">    </w:t>
      </w:r>
      <w:r w:rsidRPr="00087F78">
        <w:rPr>
          <w:rStyle w:val="af3"/>
          <w:rFonts w:ascii="Times New Roman" w:hAnsi="Times New Roman"/>
          <w:sz w:val="28"/>
          <w:szCs w:val="28"/>
        </w:rPr>
        <w:t xml:space="preserve">   </w:t>
      </w:r>
      <w:r w:rsidRPr="00087F78">
        <w:rPr>
          <w:rFonts w:ascii="Times New Roman" w:hAnsi="Times New Roman"/>
          <w:bCs/>
          <w:sz w:val="28"/>
          <w:szCs w:val="28"/>
        </w:rPr>
        <w:t xml:space="preserve">Ежегодный отчет о деятельности Счётной палаты Маловишерского муниципального района Новгородской области, результатах проведенных контрольных и экспертно- аналитических мероприятий в 2022 году </w:t>
      </w:r>
      <w:r w:rsidRPr="00087F78">
        <w:rPr>
          <w:rFonts w:ascii="Times New Roman" w:hAnsi="Times New Roman"/>
          <w:sz w:val="28"/>
          <w:szCs w:val="28"/>
        </w:rPr>
        <w:t xml:space="preserve"> (далее – Отчет) подготовлен в соответствии с требованиями пункта 4.2 Положения о Счётной палате Маловишерского муниципального района, утвержденного Решением Думы Маловишерского муниципального района от 31.01.2012 №129 и отражает обобщающие сведения о результатах деятельности Счётной палаты муниципального района в 2022 году.</w:t>
      </w:r>
    </w:p>
    <w:p w:rsidR="00087F78" w:rsidRPr="00087F78" w:rsidRDefault="00087F78" w:rsidP="00087F78">
      <w:pPr>
        <w:jc w:val="both"/>
        <w:outlineLvl w:val="0"/>
        <w:rPr>
          <w:rStyle w:val="af3"/>
          <w:b w:val="0"/>
          <w:szCs w:val="28"/>
        </w:rPr>
      </w:pPr>
    </w:p>
    <w:p w:rsidR="00087F78" w:rsidRPr="00087F78" w:rsidRDefault="00087F78" w:rsidP="00087F78">
      <w:pPr>
        <w:pStyle w:val="af"/>
        <w:spacing w:before="0" w:beforeAutospacing="0" w:after="0" w:afterAutospacing="0"/>
        <w:jc w:val="center"/>
        <w:rPr>
          <w:rFonts w:ascii="Times New Roman" w:hAnsi="Times New Roman"/>
          <w:sz w:val="28"/>
          <w:szCs w:val="28"/>
        </w:rPr>
      </w:pPr>
      <w:r w:rsidRPr="00087F78">
        <w:rPr>
          <w:rStyle w:val="af3"/>
          <w:rFonts w:ascii="Times New Roman" w:hAnsi="Times New Roman"/>
          <w:sz w:val="28"/>
          <w:szCs w:val="28"/>
        </w:rPr>
        <w:t>Основные итоги деятельности</w:t>
      </w:r>
    </w:p>
    <w:p w:rsidR="00087F78" w:rsidRPr="00087F78" w:rsidRDefault="00087F78" w:rsidP="00087F78">
      <w:pPr>
        <w:pStyle w:val="af"/>
        <w:spacing w:before="0" w:beforeAutospacing="0" w:after="0" w:afterAutospacing="0"/>
        <w:ind w:firstLine="426"/>
        <w:jc w:val="both"/>
        <w:rPr>
          <w:rFonts w:ascii="Times New Roman" w:hAnsi="Times New Roman"/>
          <w:sz w:val="28"/>
          <w:szCs w:val="28"/>
        </w:rPr>
      </w:pPr>
      <w:r w:rsidRPr="00087F78">
        <w:rPr>
          <w:rFonts w:ascii="Times New Roman" w:hAnsi="Times New Roman"/>
          <w:sz w:val="28"/>
          <w:szCs w:val="28"/>
        </w:rPr>
        <w:t>Организация и деятельность Счётной палаты Маловишерского муниципального района Новгородской области  (далее - Счётная палата) в 2022 году, как и в предыдущие годы, осуществлялась в соответствии с требованиями законодательства, а именно: в соответствии с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определяющими объем прав и обязанностей по осуществлению внешнего государственного финансового контроля.</w:t>
      </w:r>
    </w:p>
    <w:p w:rsidR="00087F78" w:rsidRPr="00087F78" w:rsidRDefault="00087F78" w:rsidP="00087F78">
      <w:pPr>
        <w:pStyle w:val="af"/>
        <w:spacing w:before="0" w:beforeAutospacing="0" w:after="0" w:afterAutospacing="0"/>
        <w:ind w:firstLine="426"/>
        <w:jc w:val="both"/>
        <w:rPr>
          <w:rFonts w:ascii="Times New Roman" w:hAnsi="Times New Roman"/>
          <w:sz w:val="28"/>
          <w:szCs w:val="28"/>
        </w:rPr>
      </w:pPr>
      <w:r w:rsidRPr="00087F78">
        <w:rPr>
          <w:rFonts w:ascii="Times New Roman" w:hAnsi="Times New Roman"/>
          <w:sz w:val="28"/>
          <w:szCs w:val="28"/>
        </w:rPr>
        <w:t xml:space="preserve"> Согласно Положению Счётная палата </w:t>
      </w:r>
      <w:r w:rsidRPr="00087F78">
        <w:rPr>
          <w:rFonts w:ascii="Times New Roman" w:hAnsi="Times New Roman"/>
          <w:spacing w:val="-4"/>
          <w:sz w:val="28"/>
          <w:szCs w:val="28"/>
        </w:rPr>
        <w:t xml:space="preserve">является постоянно действующим органом внешнего муниципального финансового контроля, образована Думой Маловишерского муниципального района </w:t>
      </w:r>
      <w:r w:rsidRPr="00087F78">
        <w:rPr>
          <w:rFonts w:ascii="Times New Roman" w:hAnsi="Times New Roman"/>
          <w:spacing w:val="-5"/>
          <w:sz w:val="28"/>
          <w:szCs w:val="28"/>
        </w:rPr>
        <w:t xml:space="preserve"> и в своей деятельности подотчетна ей. </w:t>
      </w:r>
    </w:p>
    <w:p w:rsidR="00087F78" w:rsidRPr="00087F78" w:rsidRDefault="00087F78" w:rsidP="00087F78">
      <w:pPr>
        <w:pStyle w:val="af"/>
        <w:spacing w:before="0" w:beforeAutospacing="0" w:after="0" w:afterAutospacing="0"/>
        <w:ind w:firstLine="426"/>
        <w:jc w:val="both"/>
        <w:rPr>
          <w:rStyle w:val="markedcontent"/>
          <w:rFonts w:ascii="Times New Roman" w:hAnsi="Times New Roman"/>
          <w:sz w:val="28"/>
          <w:szCs w:val="28"/>
        </w:rPr>
      </w:pPr>
      <w:r w:rsidRPr="00087F78">
        <w:rPr>
          <w:rFonts w:ascii="Times New Roman" w:hAnsi="Times New Roman"/>
          <w:sz w:val="28"/>
          <w:szCs w:val="28"/>
        </w:rPr>
        <w:t xml:space="preserve"> </w:t>
      </w:r>
      <w:r w:rsidRPr="00087F78">
        <w:rPr>
          <w:rStyle w:val="markedcontent"/>
          <w:rFonts w:ascii="Times New Roman" w:hAnsi="Times New Roman"/>
          <w:sz w:val="28"/>
          <w:szCs w:val="28"/>
        </w:rPr>
        <w:t>В отчетном периоде Счётная палата осуществляла контрольную,</w:t>
      </w:r>
      <w:r w:rsidRPr="00087F78">
        <w:rPr>
          <w:rFonts w:ascii="Times New Roman" w:hAnsi="Times New Roman"/>
          <w:sz w:val="28"/>
          <w:szCs w:val="28"/>
        </w:rPr>
        <w:br/>
      </w:r>
      <w:r w:rsidRPr="00087F78">
        <w:rPr>
          <w:rStyle w:val="markedcontent"/>
          <w:rFonts w:ascii="Times New Roman" w:hAnsi="Times New Roman"/>
          <w:sz w:val="28"/>
          <w:szCs w:val="28"/>
        </w:rPr>
        <w:t>экспертно-аналитическую, информационную и иную деятельность на</w:t>
      </w:r>
      <w:r w:rsidRPr="00087F78">
        <w:rPr>
          <w:rFonts w:ascii="Times New Roman" w:hAnsi="Times New Roman"/>
          <w:sz w:val="28"/>
          <w:szCs w:val="28"/>
        </w:rPr>
        <w:br/>
      </w:r>
      <w:r w:rsidRPr="00087F78">
        <w:rPr>
          <w:rStyle w:val="markedcontent"/>
          <w:rFonts w:ascii="Times New Roman" w:hAnsi="Times New Roman"/>
          <w:sz w:val="28"/>
          <w:szCs w:val="28"/>
        </w:rPr>
        <w:t>основе годового плана работы, утвержденного председателем Счётной</w:t>
      </w:r>
      <w:r w:rsidRPr="00087F78">
        <w:rPr>
          <w:rFonts w:ascii="Times New Roman" w:hAnsi="Times New Roman"/>
          <w:sz w:val="28"/>
          <w:szCs w:val="28"/>
        </w:rPr>
        <w:br/>
      </w:r>
      <w:r w:rsidRPr="00087F78">
        <w:rPr>
          <w:rStyle w:val="markedcontent"/>
          <w:rFonts w:ascii="Times New Roman" w:hAnsi="Times New Roman"/>
          <w:sz w:val="28"/>
          <w:szCs w:val="28"/>
        </w:rPr>
        <w:t>палаты. План работы был сформирован, исходя из необходимости</w:t>
      </w:r>
      <w:r w:rsidRPr="00087F78">
        <w:rPr>
          <w:rFonts w:ascii="Times New Roman" w:hAnsi="Times New Roman"/>
          <w:sz w:val="28"/>
          <w:szCs w:val="28"/>
        </w:rPr>
        <w:br/>
      </w:r>
      <w:r w:rsidRPr="00087F78">
        <w:rPr>
          <w:rStyle w:val="markedcontent"/>
          <w:rFonts w:ascii="Times New Roman" w:hAnsi="Times New Roman"/>
          <w:sz w:val="28"/>
          <w:szCs w:val="28"/>
        </w:rPr>
        <w:t>обеспечения реализации полномочий Счётной палаты, и с учетом</w:t>
      </w:r>
      <w:r w:rsidRPr="00087F78">
        <w:rPr>
          <w:rFonts w:ascii="Times New Roman" w:hAnsi="Times New Roman"/>
          <w:sz w:val="28"/>
          <w:szCs w:val="28"/>
        </w:rPr>
        <w:br/>
      </w:r>
      <w:r w:rsidRPr="00087F78">
        <w:rPr>
          <w:rStyle w:val="markedcontent"/>
          <w:rFonts w:ascii="Times New Roman" w:hAnsi="Times New Roman"/>
          <w:sz w:val="28"/>
          <w:szCs w:val="28"/>
        </w:rPr>
        <w:t xml:space="preserve">предложений комитета финансов Администрации Маловишерского муниципального района Новгородской области, Думы Маловишерского муниципального района Новгородской области. </w:t>
      </w:r>
    </w:p>
    <w:p w:rsidR="00087F78" w:rsidRPr="00087F78" w:rsidRDefault="00087F78" w:rsidP="00087F78">
      <w:pPr>
        <w:jc w:val="both"/>
        <w:outlineLvl w:val="0"/>
        <w:rPr>
          <w:szCs w:val="28"/>
        </w:rPr>
      </w:pPr>
      <w:r w:rsidRPr="00087F78">
        <w:rPr>
          <w:szCs w:val="28"/>
        </w:rPr>
        <w:t>     </w:t>
      </w:r>
    </w:p>
    <w:p w:rsidR="00087F78" w:rsidRPr="00087F78" w:rsidRDefault="00087F78" w:rsidP="00087F78">
      <w:pPr>
        <w:jc w:val="both"/>
        <w:outlineLvl w:val="0"/>
        <w:rPr>
          <w:szCs w:val="28"/>
        </w:rPr>
      </w:pPr>
      <w:r w:rsidRPr="00087F78">
        <w:rPr>
          <w:szCs w:val="28"/>
        </w:rPr>
        <w:t xml:space="preserve">      Счётной палатой, как и в предыдущие года, заключено 4 Соглашения  о передаче полномочий на 2022 год по осуществлению внешнего муниципального финансового контроля.</w:t>
      </w:r>
    </w:p>
    <w:p w:rsidR="00087F78" w:rsidRPr="00087F78" w:rsidRDefault="00087F78" w:rsidP="00225663">
      <w:pPr>
        <w:pStyle w:val="af"/>
        <w:spacing w:before="0" w:beforeAutospacing="0" w:after="0" w:afterAutospacing="0"/>
        <w:jc w:val="center"/>
        <w:rPr>
          <w:rFonts w:ascii="Times New Roman" w:hAnsi="Times New Roman"/>
          <w:sz w:val="28"/>
          <w:szCs w:val="28"/>
        </w:rPr>
      </w:pPr>
      <w:r w:rsidRPr="00087F78">
        <w:rPr>
          <w:rStyle w:val="af3"/>
          <w:rFonts w:ascii="Times New Roman" w:hAnsi="Times New Roman"/>
          <w:sz w:val="28"/>
          <w:szCs w:val="28"/>
        </w:rPr>
        <w:t>Результаты деятельности Счётной палаты в 2022 году.</w:t>
      </w:r>
    </w:p>
    <w:p w:rsidR="00087F78" w:rsidRPr="00087F78" w:rsidRDefault="00087F78" w:rsidP="00087F78">
      <w:pPr>
        <w:pStyle w:val="af"/>
        <w:spacing w:before="0" w:beforeAutospacing="0" w:after="0" w:afterAutospacing="0"/>
        <w:jc w:val="both"/>
        <w:rPr>
          <w:rFonts w:ascii="Times New Roman" w:hAnsi="Times New Roman"/>
          <w:sz w:val="28"/>
          <w:szCs w:val="28"/>
        </w:rPr>
      </w:pPr>
      <w:r w:rsidRPr="00087F78">
        <w:rPr>
          <w:rFonts w:ascii="Times New Roman" w:hAnsi="Times New Roman"/>
          <w:sz w:val="28"/>
          <w:szCs w:val="28"/>
        </w:rPr>
        <w:lastRenderedPageBreak/>
        <w:t>     </w:t>
      </w:r>
      <w:r w:rsidRPr="00087F78">
        <w:rPr>
          <w:rFonts w:ascii="Times New Roman" w:hAnsi="Times New Roman"/>
          <w:spacing w:val="4"/>
          <w:sz w:val="28"/>
          <w:szCs w:val="28"/>
        </w:rPr>
        <w:t xml:space="preserve">Основные итоги работы Счётной палаты за 2022 год характеризуются следующими показателями: </w:t>
      </w:r>
      <w:r w:rsidRPr="00087F78">
        <w:rPr>
          <w:rFonts w:ascii="Times New Roman" w:hAnsi="Times New Roman"/>
          <w:sz w:val="28"/>
          <w:szCs w:val="28"/>
        </w:rPr>
        <w:t>145 контрольных и экспертно-аналитических мероприятий, из них 3 контрольных мероприятия, 11 внешних проверок годовой отчетности  и 131 экспертно- аналитических мероприятий. Одна проверка является переходящей на 2023 год.</w:t>
      </w:r>
    </w:p>
    <w:p w:rsidR="00087F78" w:rsidRPr="00087F78" w:rsidRDefault="00087F78" w:rsidP="00087F78">
      <w:pPr>
        <w:ind w:firstLine="426"/>
        <w:jc w:val="both"/>
        <w:rPr>
          <w:szCs w:val="28"/>
        </w:rPr>
      </w:pPr>
      <w:r w:rsidRPr="00087F78">
        <w:rPr>
          <w:szCs w:val="28"/>
        </w:rPr>
        <w:t xml:space="preserve">Динамика проведённых контрольных и экспертно-аналитических мероприятий за 2020-2022 годы представлена на диаграмме 1. </w:t>
      </w:r>
    </w:p>
    <w:p w:rsidR="00087F78" w:rsidRPr="00087F78" w:rsidRDefault="00087F78" w:rsidP="00087F78">
      <w:pPr>
        <w:pStyle w:val="af"/>
        <w:spacing w:before="0" w:beforeAutospacing="0" w:after="0" w:afterAutospacing="0"/>
        <w:jc w:val="both"/>
        <w:rPr>
          <w:rFonts w:ascii="Times New Roman" w:hAnsi="Times New Roman"/>
          <w:noProof/>
        </w:rPr>
      </w:pPr>
      <w:r w:rsidRPr="00087F78">
        <w:rPr>
          <w:rFonts w:ascii="Times New Roman" w:hAnsi="Times New Roman"/>
        </w:rPr>
        <w:t xml:space="preserve">                                                                                                                               Диаграмма 1 </w:t>
      </w:r>
    </w:p>
    <w:p w:rsidR="00087F78" w:rsidRDefault="00087F78" w:rsidP="00087F78">
      <w:pPr>
        <w:pStyle w:val="af"/>
        <w:spacing w:before="0" w:beforeAutospacing="0" w:after="0" w:afterAutospacing="0"/>
        <w:jc w:val="both"/>
        <w:rPr>
          <w:sz w:val="28"/>
          <w:szCs w:val="28"/>
        </w:rPr>
      </w:pPr>
      <w:r w:rsidRPr="00150BE9">
        <w:rPr>
          <w:noProof/>
          <w:sz w:val="28"/>
          <w:szCs w:val="28"/>
        </w:rPr>
        <w:drawing>
          <wp:inline distT="0" distB="0" distL="0" distR="0">
            <wp:extent cx="577215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7F78" w:rsidRDefault="00087F78" w:rsidP="00087F78">
      <w:pPr>
        <w:pStyle w:val="af"/>
        <w:spacing w:before="0" w:beforeAutospacing="0" w:after="0" w:afterAutospacing="0"/>
        <w:jc w:val="both"/>
        <w:rPr>
          <w:sz w:val="28"/>
          <w:szCs w:val="28"/>
        </w:rPr>
      </w:pPr>
    </w:p>
    <w:p w:rsidR="00087F78" w:rsidRPr="00087F78" w:rsidRDefault="00087F78" w:rsidP="00087F78">
      <w:pPr>
        <w:pStyle w:val="af"/>
        <w:spacing w:before="0" w:beforeAutospacing="0" w:after="0" w:afterAutospacing="0"/>
        <w:ind w:firstLine="426"/>
        <w:jc w:val="both"/>
        <w:rPr>
          <w:rFonts w:ascii="Times New Roman" w:hAnsi="Times New Roman"/>
          <w:sz w:val="28"/>
          <w:szCs w:val="28"/>
        </w:rPr>
      </w:pPr>
      <w:r w:rsidRPr="00087F78">
        <w:rPr>
          <w:rFonts w:ascii="Times New Roman" w:hAnsi="Times New Roman"/>
          <w:sz w:val="28"/>
          <w:szCs w:val="28"/>
        </w:rPr>
        <w:t>В отчетном периоде контрольными мероприятиями было охвачено 3 объекта проверки.</w:t>
      </w:r>
    </w:p>
    <w:p w:rsidR="00087F78" w:rsidRPr="00087F78" w:rsidRDefault="00087F78" w:rsidP="00087F78">
      <w:pPr>
        <w:pStyle w:val="af"/>
        <w:spacing w:before="0" w:beforeAutospacing="0" w:after="0" w:afterAutospacing="0"/>
        <w:ind w:firstLine="426"/>
        <w:jc w:val="both"/>
        <w:rPr>
          <w:rFonts w:ascii="Times New Roman" w:hAnsi="Times New Roman"/>
          <w:sz w:val="28"/>
          <w:szCs w:val="28"/>
        </w:rPr>
      </w:pPr>
      <w:r w:rsidRPr="00087F78">
        <w:rPr>
          <w:rFonts w:ascii="Times New Roman" w:hAnsi="Times New Roman"/>
          <w:sz w:val="28"/>
          <w:szCs w:val="28"/>
        </w:rPr>
        <w:t>О</w:t>
      </w:r>
      <w:r w:rsidRPr="00087F78">
        <w:rPr>
          <w:rFonts w:ascii="Times New Roman" w:hAnsi="Times New Roman"/>
          <w:spacing w:val="4"/>
          <w:sz w:val="28"/>
          <w:szCs w:val="28"/>
        </w:rPr>
        <w:t>бщая сумма выявленных нарушений и недостатков использования средств бюджетной системы установлена в  22 случаях  и составила 4312,5 тыс. рублей</w:t>
      </w:r>
      <w:r w:rsidRPr="00087F78">
        <w:rPr>
          <w:rStyle w:val="afc"/>
          <w:rFonts w:ascii="Times New Roman" w:hAnsi="Times New Roman"/>
          <w:color w:val="000000" w:themeColor="text1"/>
          <w:spacing w:val="4"/>
          <w:sz w:val="28"/>
          <w:szCs w:val="28"/>
        </w:rPr>
        <w:footnoteReference w:id="2"/>
      </w:r>
      <w:r w:rsidRPr="00087F78">
        <w:rPr>
          <w:rFonts w:ascii="Times New Roman" w:hAnsi="Times New Roman"/>
          <w:color w:val="000000" w:themeColor="text1"/>
          <w:spacing w:val="4"/>
          <w:sz w:val="28"/>
          <w:szCs w:val="28"/>
        </w:rPr>
        <w:t>, в том числе:</w:t>
      </w:r>
      <w:r w:rsidRPr="00087F78">
        <w:rPr>
          <w:rFonts w:ascii="Times New Roman" w:hAnsi="Times New Roman"/>
          <w:sz w:val="28"/>
          <w:szCs w:val="28"/>
        </w:rPr>
        <w:t xml:space="preserve">         </w:t>
      </w:r>
    </w:p>
    <w:p w:rsidR="00087F78" w:rsidRPr="00087F78" w:rsidRDefault="00087F78" w:rsidP="00087F78">
      <w:pPr>
        <w:pStyle w:val="afb"/>
        <w:numPr>
          <w:ilvl w:val="0"/>
          <w:numId w:val="45"/>
        </w:numPr>
        <w:tabs>
          <w:tab w:val="left" w:pos="0"/>
        </w:tabs>
        <w:ind w:left="0" w:right="-2" w:firstLine="284"/>
        <w:jc w:val="both"/>
        <w:rPr>
          <w:spacing w:val="4"/>
          <w:sz w:val="28"/>
          <w:szCs w:val="28"/>
        </w:rPr>
      </w:pPr>
      <w:r w:rsidRPr="00087F78">
        <w:rPr>
          <w:spacing w:val="4"/>
          <w:sz w:val="28"/>
          <w:szCs w:val="28"/>
        </w:rPr>
        <w:t>нарушения при формировании и исполнении бюджетов- 4306,6 тыс. рублей/20 ед.;</w:t>
      </w:r>
    </w:p>
    <w:p w:rsidR="00087F78" w:rsidRPr="00087F78" w:rsidRDefault="00087F78" w:rsidP="00087F78">
      <w:pPr>
        <w:pStyle w:val="afb"/>
        <w:numPr>
          <w:ilvl w:val="0"/>
          <w:numId w:val="45"/>
        </w:numPr>
        <w:tabs>
          <w:tab w:val="left" w:pos="0"/>
        </w:tabs>
        <w:ind w:left="0" w:right="-2" w:firstLine="284"/>
        <w:jc w:val="both"/>
        <w:rPr>
          <w:spacing w:val="4"/>
          <w:sz w:val="28"/>
          <w:szCs w:val="28"/>
        </w:rPr>
      </w:pPr>
      <w:r w:rsidRPr="00087F78">
        <w:rPr>
          <w:spacing w:val="4"/>
          <w:sz w:val="28"/>
          <w:szCs w:val="28"/>
        </w:rPr>
        <w:t>нарушения ведения бухгалтерского учета, составления и представления бухгалтерской (финансовой) отчетности – 0,0 тыс. рублей/0 ед.;</w:t>
      </w:r>
    </w:p>
    <w:p w:rsidR="00087F78" w:rsidRPr="00087F78" w:rsidRDefault="00087F78" w:rsidP="00087F78">
      <w:pPr>
        <w:pStyle w:val="afb"/>
        <w:numPr>
          <w:ilvl w:val="0"/>
          <w:numId w:val="45"/>
        </w:numPr>
        <w:tabs>
          <w:tab w:val="left" w:pos="0"/>
        </w:tabs>
        <w:ind w:left="0" w:right="-2" w:firstLine="284"/>
        <w:jc w:val="both"/>
        <w:rPr>
          <w:spacing w:val="4"/>
          <w:sz w:val="28"/>
          <w:szCs w:val="28"/>
        </w:rPr>
      </w:pPr>
      <w:r w:rsidRPr="00087F78">
        <w:rPr>
          <w:spacing w:val="4"/>
          <w:sz w:val="28"/>
          <w:szCs w:val="28"/>
        </w:rPr>
        <w:t>нарушения в сфере управления и распоряжения государственной собственностью –0 тыс. рублей/0 ед.;</w:t>
      </w:r>
    </w:p>
    <w:p w:rsidR="00087F78" w:rsidRPr="00087F78" w:rsidRDefault="00087F78" w:rsidP="00087F78">
      <w:pPr>
        <w:pStyle w:val="afb"/>
        <w:numPr>
          <w:ilvl w:val="0"/>
          <w:numId w:val="45"/>
        </w:numPr>
        <w:tabs>
          <w:tab w:val="left" w:pos="0"/>
        </w:tabs>
        <w:ind w:left="0" w:right="-2" w:firstLine="284"/>
        <w:jc w:val="both"/>
        <w:rPr>
          <w:spacing w:val="4"/>
          <w:sz w:val="28"/>
          <w:szCs w:val="28"/>
        </w:rPr>
      </w:pPr>
      <w:r w:rsidRPr="00087F78">
        <w:rPr>
          <w:spacing w:val="4"/>
          <w:sz w:val="28"/>
          <w:szCs w:val="28"/>
        </w:rPr>
        <w:t>нарушения при осуществлении государственных закупок и закупок отдельными видами юридических лиц – 5,9 тыс. рублей/2 ед.;</w:t>
      </w:r>
    </w:p>
    <w:p w:rsidR="00087F78" w:rsidRPr="00087F78" w:rsidRDefault="00087F78" w:rsidP="00087F78">
      <w:pPr>
        <w:pStyle w:val="afb"/>
        <w:numPr>
          <w:ilvl w:val="0"/>
          <w:numId w:val="45"/>
        </w:numPr>
        <w:tabs>
          <w:tab w:val="left" w:pos="0"/>
        </w:tabs>
        <w:ind w:left="0" w:right="-2" w:firstLine="284"/>
        <w:jc w:val="both"/>
        <w:rPr>
          <w:spacing w:val="4"/>
          <w:sz w:val="28"/>
          <w:szCs w:val="28"/>
        </w:rPr>
      </w:pPr>
      <w:r w:rsidRPr="00087F78">
        <w:rPr>
          <w:spacing w:val="4"/>
          <w:sz w:val="28"/>
          <w:szCs w:val="28"/>
        </w:rPr>
        <w:t>нецелевое использование бюджетных средств –0 тыс.рублей/0 ед.;</w:t>
      </w:r>
    </w:p>
    <w:p w:rsidR="00087F78" w:rsidRPr="00087F78" w:rsidRDefault="00087F78" w:rsidP="00087F78">
      <w:pPr>
        <w:pStyle w:val="afb"/>
        <w:numPr>
          <w:ilvl w:val="0"/>
          <w:numId w:val="45"/>
        </w:numPr>
        <w:tabs>
          <w:tab w:val="left" w:pos="0"/>
        </w:tabs>
        <w:ind w:left="0" w:right="-2" w:firstLine="284"/>
        <w:jc w:val="both"/>
        <w:rPr>
          <w:spacing w:val="4"/>
          <w:sz w:val="28"/>
          <w:szCs w:val="28"/>
        </w:rPr>
      </w:pPr>
      <w:r w:rsidRPr="00087F78">
        <w:rPr>
          <w:spacing w:val="4"/>
          <w:sz w:val="28"/>
          <w:szCs w:val="28"/>
        </w:rPr>
        <w:t xml:space="preserve">иные нарушения (неэффективное использование бюджетных средств) -0,0 тыс.рублей/0 ед. </w:t>
      </w:r>
    </w:p>
    <w:p w:rsidR="00087F78" w:rsidRPr="00087F78" w:rsidRDefault="00087F78" w:rsidP="00087F78">
      <w:pPr>
        <w:tabs>
          <w:tab w:val="left" w:pos="0"/>
          <w:tab w:val="left" w:pos="709"/>
          <w:tab w:val="left" w:pos="1134"/>
        </w:tabs>
        <w:ind w:right="-2" w:firstLine="426"/>
        <w:contextualSpacing/>
        <w:jc w:val="both"/>
        <w:rPr>
          <w:i/>
          <w:spacing w:val="4"/>
          <w:szCs w:val="28"/>
        </w:rPr>
      </w:pPr>
      <w:r w:rsidRPr="00087F78">
        <w:rPr>
          <w:i/>
          <w:spacing w:val="4"/>
          <w:szCs w:val="28"/>
        </w:rPr>
        <w:t>Количество и сумма нарушений приведена в приложении № 1 к Отчету, сформированного с использованием программного комплекса.</w:t>
      </w:r>
    </w:p>
    <w:p w:rsidR="00087F78" w:rsidRPr="00087F78" w:rsidRDefault="00087F78" w:rsidP="00087F78">
      <w:pPr>
        <w:tabs>
          <w:tab w:val="left" w:pos="0"/>
          <w:tab w:val="left" w:pos="709"/>
          <w:tab w:val="left" w:pos="1134"/>
        </w:tabs>
        <w:ind w:right="-2" w:firstLine="426"/>
        <w:contextualSpacing/>
        <w:jc w:val="both"/>
        <w:rPr>
          <w:spacing w:val="4"/>
          <w:szCs w:val="28"/>
        </w:rPr>
      </w:pPr>
    </w:p>
    <w:p w:rsidR="00087F78" w:rsidRDefault="00087F78" w:rsidP="00087F78">
      <w:pPr>
        <w:tabs>
          <w:tab w:val="left" w:pos="0"/>
          <w:tab w:val="left" w:pos="709"/>
          <w:tab w:val="left" w:pos="1134"/>
        </w:tabs>
        <w:ind w:right="-2" w:firstLine="426"/>
        <w:contextualSpacing/>
        <w:jc w:val="both"/>
        <w:rPr>
          <w:spacing w:val="4"/>
          <w:szCs w:val="28"/>
        </w:rPr>
      </w:pPr>
      <w:r w:rsidRPr="00087F78">
        <w:rPr>
          <w:spacing w:val="4"/>
          <w:szCs w:val="28"/>
        </w:rPr>
        <w:lastRenderedPageBreak/>
        <w:t>В 2022 году структура нарушений несколько изменилась, основная часть приходится на нарушения в ходе формирования и исполнения бюджетов.</w:t>
      </w:r>
      <w:r w:rsidRPr="002679C5">
        <w:rPr>
          <w:spacing w:val="4"/>
          <w:szCs w:val="28"/>
        </w:rPr>
        <w:t xml:space="preserve"> </w:t>
      </w:r>
      <w:r>
        <w:rPr>
          <w:spacing w:val="4"/>
          <w:szCs w:val="28"/>
        </w:rPr>
        <w:t>Н</w:t>
      </w:r>
      <w:r w:rsidRPr="003674C0">
        <w:rPr>
          <w:spacing w:val="4"/>
          <w:szCs w:val="28"/>
        </w:rPr>
        <w:t>арушени</w:t>
      </w:r>
      <w:r>
        <w:rPr>
          <w:spacing w:val="4"/>
          <w:szCs w:val="28"/>
        </w:rPr>
        <w:t>й</w:t>
      </w:r>
      <w:r w:rsidRPr="003674C0">
        <w:rPr>
          <w:spacing w:val="4"/>
          <w:szCs w:val="28"/>
        </w:rPr>
        <w:t xml:space="preserve"> составления и представления бухгалтерской отчетности</w:t>
      </w:r>
      <w:r>
        <w:rPr>
          <w:spacing w:val="4"/>
          <w:szCs w:val="28"/>
        </w:rPr>
        <w:t xml:space="preserve">, которые в 2021 году являлись преобладающими, в отчетном периоде не установлены, что свидетельствует о более качественном подходе к составлению бюджетной отчетности. </w:t>
      </w:r>
    </w:p>
    <w:p w:rsidR="00087F78" w:rsidRDefault="00087F78" w:rsidP="00087F78">
      <w:pPr>
        <w:tabs>
          <w:tab w:val="left" w:pos="0"/>
          <w:tab w:val="left" w:pos="709"/>
          <w:tab w:val="left" w:pos="1134"/>
        </w:tabs>
        <w:ind w:right="-2" w:firstLine="426"/>
        <w:contextualSpacing/>
        <w:jc w:val="both"/>
        <w:rPr>
          <w:spacing w:val="4"/>
          <w:szCs w:val="28"/>
        </w:rPr>
      </w:pPr>
      <w:r>
        <w:rPr>
          <w:spacing w:val="4"/>
          <w:szCs w:val="28"/>
        </w:rPr>
        <w:t xml:space="preserve">Анализ выявленных нарушений в 2021-2022 годах приведен в диаграмме 2.  </w:t>
      </w:r>
    </w:p>
    <w:p w:rsidR="00087F78" w:rsidRPr="00C61B2A" w:rsidRDefault="00087F78" w:rsidP="00087F78">
      <w:pPr>
        <w:pStyle w:val="af"/>
        <w:spacing w:before="0" w:beforeAutospacing="0" w:after="0" w:afterAutospacing="0"/>
        <w:jc w:val="both"/>
        <w:rPr>
          <w:noProof/>
        </w:rPr>
      </w:pPr>
      <w:r w:rsidRPr="00C61B2A">
        <w:t xml:space="preserve">                                                                                                          </w:t>
      </w:r>
      <w:r>
        <w:t xml:space="preserve">                </w:t>
      </w:r>
      <w:r w:rsidRPr="00C61B2A">
        <w:t xml:space="preserve">  Диаграмма </w:t>
      </w:r>
      <w:r>
        <w:t>2</w:t>
      </w:r>
      <w:r w:rsidRPr="00C61B2A">
        <w:t xml:space="preserve"> </w:t>
      </w:r>
    </w:p>
    <w:p w:rsidR="00087F78" w:rsidRDefault="00087F78" w:rsidP="00087F78">
      <w:pPr>
        <w:tabs>
          <w:tab w:val="left" w:pos="0"/>
          <w:tab w:val="left" w:pos="709"/>
          <w:tab w:val="left" w:pos="1134"/>
        </w:tabs>
        <w:ind w:right="-2" w:firstLine="426"/>
        <w:contextualSpacing/>
        <w:jc w:val="both"/>
        <w:rPr>
          <w:spacing w:val="4"/>
          <w:szCs w:val="28"/>
        </w:rPr>
      </w:pPr>
      <w:r w:rsidRPr="002679C5">
        <w:rPr>
          <w:noProof/>
          <w:spacing w:val="4"/>
          <w:szCs w:val="28"/>
        </w:rPr>
        <w:drawing>
          <wp:inline distT="0" distB="0" distL="0" distR="0">
            <wp:extent cx="5505450" cy="40195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7F78" w:rsidRDefault="00087F78" w:rsidP="00087F78">
      <w:pPr>
        <w:tabs>
          <w:tab w:val="left" w:pos="0"/>
          <w:tab w:val="left" w:pos="709"/>
          <w:tab w:val="left" w:pos="1134"/>
        </w:tabs>
        <w:ind w:right="-2" w:firstLine="426"/>
        <w:contextualSpacing/>
        <w:jc w:val="both"/>
        <w:rPr>
          <w:spacing w:val="4"/>
          <w:szCs w:val="28"/>
        </w:rPr>
      </w:pPr>
    </w:p>
    <w:p w:rsidR="00087F78" w:rsidRPr="00087F78" w:rsidRDefault="00225663" w:rsidP="00087F78">
      <w:pPr>
        <w:tabs>
          <w:tab w:val="left" w:pos="709"/>
        </w:tabs>
        <w:ind w:right="-2"/>
        <w:jc w:val="both"/>
        <w:rPr>
          <w:szCs w:val="28"/>
        </w:rPr>
      </w:pPr>
      <w:r>
        <w:rPr>
          <w:szCs w:val="28"/>
        </w:rPr>
        <w:tab/>
      </w:r>
      <w:r w:rsidR="00087F78" w:rsidRPr="00087F78">
        <w:rPr>
          <w:szCs w:val="28"/>
        </w:rPr>
        <w:t xml:space="preserve">В зависимости от характера выявленных недостатков и нарушений строилась работа,  направленная на их устранение,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мероприятий. В 2022 году Счётной палатой в адрес объектов контроля направлены предложения, содержащихся в 3 представлениях. </w:t>
      </w:r>
    </w:p>
    <w:p w:rsidR="00087F78" w:rsidRPr="00087F78" w:rsidRDefault="00225663" w:rsidP="00087F78">
      <w:pPr>
        <w:tabs>
          <w:tab w:val="left" w:pos="709"/>
        </w:tabs>
        <w:ind w:right="-2" w:firstLine="426"/>
        <w:jc w:val="both"/>
        <w:rPr>
          <w:szCs w:val="28"/>
        </w:rPr>
      </w:pPr>
      <w:r>
        <w:rPr>
          <w:szCs w:val="28"/>
        </w:rPr>
        <w:tab/>
      </w:r>
      <w:r w:rsidR="00087F78" w:rsidRPr="00087F78">
        <w:rPr>
          <w:szCs w:val="28"/>
        </w:rPr>
        <w:t xml:space="preserve">На дату составления настоящего Отчета исполнены, одно представление остается на контроле. </w:t>
      </w:r>
    </w:p>
    <w:p w:rsidR="00087F78" w:rsidRPr="00087F78" w:rsidRDefault="00087F78" w:rsidP="00225663">
      <w:pPr>
        <w:pStyle w:val="af"/>
        <w:spacing w:before="0" w:beforeAutospacing="0" w:after="0" w:afterAutospacing="0"/>
        <w:ind w:firstLine="709"/>
        <w:jc w:val="both"/>
        <w:rPr>
          <w:rFonts w:ascii="Times New Roman" w:hAnsi="Times New Roman"/>
          <w:sz w:val="28"/>
          <w:szCs w:val="28"/>
        </w:rPr>
      </w:pPr>
      <w:r w:rsidRPr="00087F78">
        <w:rPr>
          <w:rFonts w:ascii="Times New Roman" w:hAnsi="Times New Roman"/>
          <w:sz w:val="28"/>
          <w:szCs w:val="28"/>
        </w:rPr>
        <w:t xml:space="preserve">Важнейшим мероприятием, полномочиями на проведение которого в соответствии с Бюджетным кодексом Российской Федерации наделены органы внешнего финансового контроля, является проведение внешней проверки годового отчета об исполнении бюджета. В  2022 году Счётной палатой проведена внешняя проверка бюджетной отчетности за 2021 год одиннадцати главных распорядителей бюджетных средств. </w:t>
      </w:r>
    </w:p>
    <w:p w:rsidR="00087F78" w:rsidRPr="00225663" w:rsidRDefault="00087F78" w:rsidP="00225663">
      <w:pPr>
        <w:pStyle w:val="af"/>
        <w:spacing w:before="0" w:beforeAutospacing="0" w:after="0" w:afterAutospacing="0"/>
        <w:ind w:firstLine="709"/>
        <w:jc w:val="both"/>
        <w:rPr>
          <w:rFonts w:ascii="Times New Roman" w:hAnsi="Times New Roman"/>
          <w:spacing w:val="4"/>
          <w:sz w:val="28"/>
          <w:szCs w:val="28"/>
        </w:rPr>
      </w:pPr>
      <w:r w:rsidRPr="00087F78">
        <w:rPr>
          <w:rFonts w:ascii="Times New Roman" w:hAnsi="Times New Roman"/>
          <w:sz w:val="28"/>
          <w:szCs w:val="28"/>
        </w:rPr>
        <w:lastRenderedPageBreak/>
        <w:t xml:space="preserve">По итогам проверки достоверность отчетности в целом подтверждена. Вместе с тем, были выявлены нарушения и недостатки, такие как:  </w:t>
      </w:r>
      <w:r w:rsidRPr="00087F78">
        <w:rPr>
          <w:rFonts w:ascii="Times New Roman" w:hAnsi="Times New Roman"/>
          <w:spacing w:val="4"/>
          <w:sz w:val="28"/>
          <w:szCs w:val="28"/>
        </w:rPr>
        <w:t xml:space="preserve">комитетом культуры Администрации муниципального района </w:t>
      </w:r>
      <w:r w:rsidRPr="00225663">
        <w:rPr>
          <w:rFonts w:ascii="Times New Roman" w:hAnsi="Times New Roman"/>
          <w:spacing w:val="4"/>
          <w:sz w:val="28"/>
          <w:szCs w:val="28"/>
        </w:rPr>
        <w:t xml:space="preserve">нарушен срок представления годовой бюджетной отчетности. </w:t>
      </w:r>
    </w:p>
    <w:p w:rsidR="00087F78" w:rsidRPr="00225663" w:rsidRDefault="00225663" w:rsidP="00225663">
      <w:pPr>
        <w:pStyle w:val="afb"/>
        <w:tabs>
          <w:tab w:val="left" w:pos="0"/>
        </w:tabs>
        <w:ind w:left="0" w:firstLine="426"/>
        <w:jc w:val="both"/>
        <w:rPr>
          <w:color w:val="000000" w:themeColor="text1"/>
          <w:sz w:val="28"/>
          <w:szCs w:val="28"/>
        </w:rPr>
      </w:pPr>
      <w:r>
        <w:rPr>
          <w:sz w:val="28"/>
          <w:szCs w:val="28"/>
        </w:rPr>
        <w:tab/>
      </w:r>
      <w:r w:rsidR="00087F78" w:rsidRPr="00225663">
        <w:rPr>
          <w:sz w:val="28"/>
          <w:szCs w:val="28"/>
        </w:rPr>
        <w:t xml:space="preserve">В </w:t>
      </w:r>
      <w:r w:rsidR="00087F78" w:rsidRPr="00225663">
        <w:rPr>
          <w:color w:val="000000" w:themeColor="text1"/>
          <w:sz w:val="28"/>
          <w:szCs w:val="28"/>
        </w:rPr>
        <w:t>рамках реализации возложенных на Счётную палату полномочий в сфере административного права был составлен 1 протокол по статье 15.15.6. КОАП РФ, главный бухгалтер привлечена к административной ответственности, ей вынесено предупреждение.</w:t>
      </w:r>
    </w:p>
    <w:p w:rsidR="00087F78" w:rsidRPr="00087F78" w:rsidRDefault="00087F78" w:rsidP="00225663">
      <w:pPr>
        <w:pStyle w:val="af"/>
        <w:spacing w:before="0" w:beforeAutospacing="0" w:after="0" w:afterAutospacing="0"/>
        <w:ind w:firstLine="709"/>
        <w:jc w:val="both"/>
        <w:rPr>
          <w:rFonts w:ascii="Times New Roman" w:hAnsi="Times New Roman"/>
          <w:sz w:val="28"/>
          <w:szCs w:val="28"/>
        </w:rPr>
      </w:pPr>
      <w:r w:rsidRPr="00087F78">
        <w:rPr>
          <w:rFonts w:ascii="Times New Roman" w:hAnsi="Times New Roman"/>
          <w:spacing w:val="4"/>
          <w:sz w:val="28"/>
          <w:szCs w:val="28"/>
        </w:rPr>
        <w:t xml:space="preserve">Кроме того, отдельными ГРБС в  отчетности отсутствует </w:t>
      </w:r>
      <w:r w:rsidRPr="00087F78">
        <w:rPr>
          <w:rFonts w:ascii="Times New Roman" w:hAnsi="Times New Roman"/>
          <w:sz w:val="28"/>
          <w:szCs w:val="28"/>
        </w:rPr>
        <w:t xml:space="preserve"> внутренняя согласованность между формами бюджетной отчетности, установлены замечания по отражению информации в пояснительных записках к отчетам. </w:t>
      </w:r>
    </w:p>
    <w:p w:rsidR="00087F78" w:rsidRPr="00087F78" w:rsidRDefault="00087F78" w:rsidP="00225663">
      <w:pPr>
        <w:pStyle w:val="af"/>
        <w:spacing w:before="0" w:beforeAutospacing="0" w:after="0" w:afterAutospacing="0"/>
        <w:ind w:firstLine="709"/>
        <w:jc w:val="both"/>
        <w:rPr>
          <w:rFonts w:ascii="Times New Roman" w:hAnsi="Times New Roman"/>
          <w:sz w:val="28"/>
          <w:szCs w:val="28"/>
        </w:rPr>
      </w:pPr>
      <w:r w:rsidRPr="00087F78">
        <w:rPr>
          <w:rFonts w:ascii="Times New Roman" w:hAnsi="Times New Roman"/>
          <w:sz w:val="28"/>
          <w:szCs w:val="28"/>
        </w:rPr>
        <w:t xml:space="preserve">Эффективность работы Счётной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 письма и отчеты о результатах контрольных мероприятий в обязательном порядке направлялись в Думу Маловишерского муниципального района, Главе муниципального района. </w:t>
      </w:r>
    </w:p>
    <w:p w:rsidR="00087F78" w:rsidRPr="00087F78" w:rsidRDefault="00087F78" w:rsidP="00225663">
      <w:pPr>
        <w:pStyle w:val="af"/>
        <w:spacing w:before="0" w:beforeAutospacing="0" w:after="0" w:afterAutospacing="0"/>
        <w:ind w:firstLine="709"/>
        <w:jc w:val="both"/>
        <w:rPr>
          <w:rFonts w:ascii="Times New Roman" w:hAnsi="Times New Roman"/>
          <w:sz w:val="28"/>
          <w:szCs w:val="28"/>
        </w:rPr>
      </w:pPr>
      <w:r w:rsidRPr="00087F78">
        <w:rPr>
          <w:rFonts w:ascii="Times New Roman" w:hAnsi="Times New Roman"/>
          <w:sz w:val="28"/>
          <w:szCs w:val="28"/>
        </w:rPr>
        <w:t xml:space="preserve">Рекомендации Счётной палаты учитывались при принятии муниципальных нормативных правовых актов. </w:t>
      </w:r>
    </w:p>
    <w:p w:rsidR="00087F78" w:rsidRPr="00087F78" w:rsidRDefault="00087F78" w:rsidP="00087F78">
      <w:pPr>
        <w:jc w:val="center"/>
      </w:pPr>
    </w:p>
    <w:p w:rsidR="00087F78" w:rsidRPr="00087F78" w:rsidRDefault="00087F78" w:rsidP="00225663">
      <w:pPr>
        <w:pStyle w:val="af"/>
        <w:spacing w:before="0" w:beforeAutospacing="0" w:after="0" w:afterAutospacing="0"/>
        <w:ind w:firstLine="709"/>
        <w:jc w:val="center"/>
        <w:rPr>
          <w:rFonts w:ascii="Times New Roman" w:hAnsi="Times New Roman"/>
          <w:b/>
          <w:sz w:val="28"/>
          <w:szCs w:val="28"/>
        </w:rPr>
      </w:pPr>
      <w:r w:rsidRPr="00087F78">
        <w:rPr>
          <w:rFonts w:ascii="Times New Roman" w:hAnsi="Times New Roman"/>
          <w:b/>
          <w:sz w:val="28"/>
          <w:szCs w:val="28"/>
        </w:rPr>
        <w:t>Результаты экспертно-аналитической деятельности</w:t>
      </w:r>
    </w:p>
    <w:p w:rsidR="00087F78" w:rsidRPr="00087F78" w:rsidRDefault="00087F78" w:rsidP="00225663">
      <w:pPr>
        <w:pStyle w:val="af"/>
        <w:spacing w:before="0" w:beforeAutospacing="0" w:after="0" w:afterAutospacing="0"/>
        <w:ind w:firstLine="709"/>
        <w:jc w:val="both"/>
        <w:rPr>
          <w:rFonts w:ascii="Times New Roman" w:hAnsi="Times New Roman"/>
          <w:sz w:val="28"/>
          <w:szCs w:val="28"/>
        </w:rPr>
      </w:pPr>
      <w:r w:rsidRPr="00087F78">
        <w:rPr>
          <w:rFonts w:ascii="Times New Roman" w:hAnsi="Times New Roman"/>
          <w:sz w:val="28"/>
          <w:szCs w:val="28"/>
        </w:rPr>
        <w:t>Проведение экспертно-аналитических мероприятий становится преимущественным направлением в деятельности Счётной палаты, которое реализуется посредством  проведения экспертизы проектов решений Думы Маловишерского муниципального района, решений Советов депутатов городских и сельских поселений о бюджете,  внешней проверки годового отчета об исполнении соответствующих бюджетов, финансово-экономической экспертизы проектов муниципальных программ, а также подготовки иных аналитических материалов.</w:t>
      </w:r>
    </w:p>
    <w:p w:rsidR="00087F78" w:rsidRPr="00087F78" w:rsidRDefault="00087F78" w:rsidP="00225663">
      <w:pPr>
        <w:pStyle w:val="af"/>
        <w:spacing w:before="0" w:beforeAutospacing="0" w:after="0" w:afterAutospacing="0"/>
        <w:ind w:firstLine="709"/>
        <w:jc w:val="both"/>
        <w:rPr>
          <w:rFonts w:ascii="Times New Roman" w:hAnsi="Times New Roman"/>
          <w:sz w:val="28"/>
          <w:szCs w:val="28"/>
        </w:rPr>
      </w:pPr>
      <w:r w:rsidRPr="00087F78">
        <w:rPr>
          <w:rFonts w:ascii="Times New Roman" w:hAnsi="Times New Roman"/>
          <w:sz w:val="28"/>
          <w:szCs w:val="28"/>
        </w:rPr>
        <w:t>За 2022 год проведено 131 экспертно-аналитическое мероприятие, их результаты оформлены в виде заключений с учетом замечаний и предложений.</w:t>
      </w:r>
    </w:p>
    <w:tbl>
      <w:tblPr>
        <w:tblStyle w:val="aa"/>
        <w:tblW w:w="9606" w:type="dxa"/>
        <w:tblLook w:val="04A0"/>
      </w:tblPr>
      <w:tblGrid>
        <w:gridCol w:w="2572"/>
        <w:gridCol w:w="7034"/>
      </w:tblGrid>
      <w:tr w:rsidR="00087F78" w:rsidRPr="00771B8C" w:rsidTr="004E7102">
        <w:tc>
          <w:tcPr>
            <w:tcW w:w="2572" w:type="dxa"/>
          </w:tcPr>
          <w:p w:rsidR="00087F78" w:rsidRPr="00771B8C" w:rsidRDefault="00087F78" w:rsidP="004E7102">
            <w:pPr>
              <w:suppressAutoHyphens/>
              <w:jc w:val="both"/>
              <w:rPr>
                <w:b/>
                <w:szCs w:val="28"/>
              </w:rPr>
            </w:pPr>
            <w:r w:rsidRPr="00771B8C">
              <w:rPr>
                <w:b/>
                <w:szCs w:val="28"/>
              </w:rPr>
              <w:t>Предварительный контроль</w:t>
            </w:r>
          </w:p>
        </w:tc>
        <w:tc>
          <w:tcPr>
            <w:tcW w:w="7034" w:type="dxa"/>
          </w:tcPr>
          <w:p w:rsidR="00087F78" w:rsidRPr="00771B8C" w:rsidRDefault="00087F78" w:rsidP="004E7102">
            <w:pPr>
              <w:suppressAutoHyphens/>
              <w:jc w:val="both"/>
              <w:rPr>
                <w:color w:val="333333"/>
                <w:szCs w:val="28"/>
              </w:rPr>
            </w:pPr>
            <w:r w:rsidRPr="00771B8C">
              <w:rPr>
                <w:color w:val="333333"/>
                <w:szCs w:val="28"/>
              </w:rPr>
              <w:t xml:space="preserve">Проведена экспертиза </w:t>
            </w:r>
            <w:r>
              <w:rPr>
                <w:color w:val="333333"/>
                <w:szCs w:val="28"/>
              </w:rPr>
              <w:t>10</w:t>
            </w:r>
            <w:r w:rsidRPr="00771B8C">
              <w:rPr>
                <w:color w:val="333333"/>
                <w:szCs w:val="28"/>
              </w:rPr>
              <w:t xml:space="preserve"> проектов </w:t>
            </w:r>
            <w:r w:rsidRPr="00771B8C">
              <w:rPr>
                <w:szCs w:val="28"/>
              </w:rPr>
              <w:t>решений Думы Маловишерского муниципального района, а также Советов депутатов поселений</w:t>
            </w:r>
          </w:p>
        </w:tc>
      </w:tr>
      <w:tr w:rsidR="00087F78" w:rsidRPr="00771B8C" w:rsidTr="004E7102">
        <w:trPr>
          <w:trHeight w:val="2675"/>
        </w:trPr>
        <w:tc>
          <w:tcPr>
            <w:tcW w:w="2572" w:type="dxa"/>
          </w:tcPr>
          <w:p w:rsidR="00087F78" w:rsidRPr="00771B8C" w:rsidRDefault="00087F78" w:rsidP="004E7102">
            <w:pPr>
              <w:suppressAutoHyphens/>
              <w:jc w:val="both"/>
              <w:rPr>
                <w:b/>
                <w:szCs w:val="28"/>
              </w:rPr>
            </w:pPr>
            <w:r w:rsidRPr="00771B8C">
              <w:rPr>
                <w:b/>
                <w:szCs w:val="28"/>
              </w:rPr>
              <w:t xml:space="preserve">Текущий </w:t>
            </w:r>
          </w:p>
          <w:p w:rsidR="00087F78" w:rsidRPr="00771B8C" w:rsidRDefault="00087F78" w:rsidP="004E7102">
            <w:pPr>
              <w:suppressAutoHyphens/>
              <w:jc w:val="both"/>
              <w:rPr>
                <w:szCs w:val="28"/>
              </w:rPr>
            </w:pPr>
            <w:r w:rsidRPr="00771B8C">
              <w:rPr>
                <w:b/>
                <w:szCs w:val="28"/>
              </w:rPr>
              <w:t>контроль</w:t>
            </w:r>
          </w:p>
        </w:tc>
        <w:tc>
          <w:tcPr>
            <w:tcW w:w="7034" w:type="dxa"/>
          </w:tcPr>
          <w:p w:rsidR="00087F78" w:rsidRPr="00771B8C" w:rsidRDefault="00087F78" w:rsidP="004E7102">
            <w:pPr>
              <w:suppressAutoHyphens/>
              <w:jc w:val="both"/>
              <w:rPr>
                <w:szCs w:val="28"/>
              </w:rPr>
            </w:pPr>
            <w:r w:rsidRPr="00771B8C">
              <w:rPr>
                <w:color w:val="333333"/>
                <w:szCs w:val="28"/>
              </w:rPr>
              <w:t xml:space="preserve">Проведена </w:t>
            </w:r>
            <w:r w:rsidRPr="00CE030E">
              <w:rPr>
                <w:color w:val="333333"/>
                <w:szCs w:val="28"/>
              </w:rPr>
              <w:t xml:space="preserve">экспертиза </w:t>
            </w:r>
            <w:r w:rsidRPr="00CE030E">
              <w:rPr>
                <w:b/>
                <w:color w:val="333333"/>
                <w:szCs w:val="28"/>
              </w:rPr>
              <w:t xml:space="preserve">116 </w:t>
            </w:r>
            <w:r w:rsidRPr="00CE030E">
              <w:rPr>
                <w:szCs w:val="28"/>
              </w:rPr>
              <w:t>проектов</w:t>
            </w:r>
            <w:r w:rsidRPr="00771B8C">
              <w:rPr>
                <w:szCs w:val="28"/>
              </w:rPr>
              <w:t xml:space="preserve"> решений Думы Маловишерского муниципального района, а также Советов депутатов Маловишерского и Большевишерского городских поселений, Бургинского и Веребьинского сельских поселений о внесении изменений в бюджет, в муниципальные программы</w:t>
            </w:r>
            <w:r>
              <w:rPr>
                <w:szCs w:val="28"/>
              </w:rPr>
              <w:t>,</w:t>
            </w:r>
            <w:r w:rsidRPr="00771B8C">
              <w:rPr>
                <w:szCs w:val="28"/>
              </w:rPr>
              <w:t xml:space="preserve"> в которых дана оценка соблюдения бюджетного и иного законодательства, о чем подготовлены  соответствующие заключения. </w:t>
            </w:r>
          </w:p>
        </w:tc>
      </w:tr>
      <w:tr w:rsidR="00087F78" w:rsidTr="004E7102">
        <w:tc>
          <w:tcPr>
            <w:tcW w:w="2572" w:type="dxa"/>
          </w:tcPr>
          <w:p w:rsidR="00087F78" w:rsidRPr="00771B8C" w:rsidRDefault="00087F78" w:rsidP="004E7102">
            <w:pPr>
              <w:suppressAutoHyphens/>
              <w:jc w:val="both"/>
              <w:rPr>
                <w:szCs w:val="28"/>
              </w:rPr>
            </w:pPr>
            <w:r w:rsidRPr="00771B8C">
              <w:rPr>
                <w:b/>
                <w:szCs w:val="28"/>
              </w:rPr>
              <w:t>Последующий контроль</w:t>
            </w:r>
          </w:p>
        </w:tc>
        <w:tc>
          <w:tcPr>
            <w:tcW w:w="7034" w:type="dxa"/>
          </w:tcPr>
          <w:p w:rsidR="00087F78" w:rsidRPr="00771B8C" w:rsidRDefault="00087F78" w:rsidP="004E7102">
            <w:pPr>
              <w:pStyle w:val="a3"/>
              <w:rPr>
                <w:szCs w:val="28"/>
              </w:rPr>
            </w:pPr>
            <w:r w:rsidRPr="00771B8C">
              <w:rPr>
                <w:b/>
                <w:szCs w:val="28"/>
              </w:rPr>
              <w:t>5</w:t>
            </w:r>
            <w:r w:rsidRPr="00771B8C">
              <w:rPr>
                <w:szCs w:val="28"/>
              </w:rPr>
              <w:t xml:space="preserve"> заключений на отчеты об исполнении  бюджета района и бюджетов поселений за 202</w:t>
            </w:r>
            <w:r>
              <w:rPr>
                <w:szCs w:val="28"/>
              </w:rPr>
              <w:t>1</w:t>
            </w:r>
            <w:r w:rsidRPr="00771B8C">
              <w:rPr>
                <w:szCs w:val="28"/>
              </w:rPr>
              <w:t xml:space="preserve"> год. </w:t>
            </w:r>
          </w:p>
        </w:tc>
      </w:tr>
    </w:tbl>
    <w:p w:rsidR="00087F78" w:rsidRDefault="00087F78" w:rsidP="00087F78">
      <w:pPr>
        <w:pStyle w:val="af"/>
        <w:spacing w:before="0" w:beforeAutospacing="0" w:after="0" w:afterAutospacing="0"/>
        <w:jc w:val="both"/>
        <w:rPr>
          <w:sz w:val="28"/>
          <w:szCs w:val="28"/>
        </w:rPr>
      </w:pPr>
    </w:p>
    <w:p w:rsidR="00087F78" w:rsidRPr="00F7211B" w:rsidRDefault="00087F78" w:rsidP="00225663">
      <w:pPr>
        <w:pStyle w:val="af"/>
        <w:spacing w:before="0" w:beforeAutospacing="0" w:after="0" w:afterAutospacing="0"/>
        <w:ind w:firstLine="709"/>
        <w:jc w:val="both"/>
        <w:rPr>
          <w:rFonts w:ascii="Times New Roman" w:hAnsi="Times New Roman"/>
          <w:sz w:val="28"/>
          <w:szCs w:val="28"/>
        </w:rPr>
      </w:pPr>
      <w:r w:rsidRPr="00F7211B">
        <w:rPr>
          <w:rFonts w:ascii="Times New Roman" w:hAnsi="Times New Roman"/>
          <w:sz w:val="28"/>
          <w:szCs w:val="28"/>
        </w:rPr>
        <w:t>Заключения Счётной палаты в установленном порядке направлены в Думу муниципального района Новгородской области, в Советы депутатов поселений, а так же соответствующим разработчикам проектов.</w:t>
      </w:r>
    </w:p>
    <w:p w:rsidR="00087F78" w:rsidRPr="00F7211B" w:rsidRDefault="00087F78" w:rsidP="00225663">
      <w:pPr>
        <w:autoSpaceDE w:val="0"/>
        <w:autoSpaceDN w:val="0"/>
        <w:adjustRightInd w:val="0"/>
        <w:ind w:firstLine="709"/>
        <w:jc w:val="both"/>
        <w:rPr>
          <w:spacing w:val="4"/>
          <w:szCs w:val="28"/>
        </w:rPr>
      </w:pPr>
      <w:r w:rsidRPr="00F7211B">
        <w:rPr>
          <w:rStyle w:val="markedcontent"/>
          <w:szCs w:val="28"/>
        </w:rPr>
        <w:t>В отчетном году Счётной палатой продолжено проведение тематических</w:t>
      </w:r>
      <w:r w:rsidRPr="00F7211B">
        <w:rPr>
          <w:szCs w:val="28"/>
        </w:rPr>
        <w:br/>
      </w:r>
      <w:r w:rsidRPr="00F7211B">
        <w:rPr>
          <w:rStyle w:val="markedcontent"/>
          <w:szCs w:val="28"/>
        </w:rPr>
        <w:t>экспертно-аналитических мероприятий. Так, в целях осуществления</w:t>
      </w:r>
      <w:r w:rsidRPr="00F7211B">
        <w:rPr>
          <w:szCs w:val="28"/>
        </w:rPr>
        <w:br/>
      </w:r>
      <w:r w:rsidRPr="00F7211B">
        <w:rPr>
          <w:rStyle w:val="markedcontent"/>
          <w:szCs w:val="28"/>
        </w:rPr>
        <w:t>контроля за реализацией национальных проектов</w:t>
      </w:r>
      <w:r w:rsidRPr="00F7211B">
        <w:rPr>
          <w:spacing w:val="4"/>
          <w:szCs w:val="28"/>
        </w:rPr>
        <w:t xml:space="preserve"> был проведен </w:t>
      </w:r>
      <w:r w:rsidRPr="00F7211B">
        <w:rPr>
          <w:b/>
          <w:spacing w:val="4"/>
          <w:szCs w:val="28"/>
        </w:rPr>
        <w:t>мониторинг национальных проектов</w:t>
      </w:r>
      <w:r w:rsidRPr="00F7211B">
        <w:rPr>
          <w:spacing w:val="4"/>
          <w:szCs w:val="28"/>
        </w:rPr>
        <w:t>, реализующихся на территории муниципального образования в 2022 году.</w:t>
      </w:r>
    </w:p>
    <w:p w:rsidR="00087F78" w:rsidRPr="00F7211B" w:rsidRDefault="00087F78" w:rsidP="00087F78">
      <w:pPr>
        <w:ind w:firstLine="426"/>
        <w:jc w:val="both"/>
        <w:rPr>
          <w:bCs/>
          <w:szCs w:val="28"/>
        </w:rPr>
      </w:pPr>
      <w:r w:rsidRPr="00F7211B">
        <w:rPr>
          <w:szCs w:val="28"/>
        </w:rPr>
        <w:t xml:space="preserve">Общий объем </w:t>
      </w:r>
      <w:r w:rsidRPr="00F7211B">
        <w:rPr>
          <w:bCs/>
          <w:szCs w:val="28"/>
        </w:rPr>
        <w:t>бюджетных ассигнований на реализацию национальных проектов в бюджете района  предусмотрен в сумме 222551,5 тыс. рублей, на момент проведения мониторинга кассовое исполнение составило 41,5%.</w:t>
      </w:r>
    </w:p>
    <w:p w:rsidR="00087F78" w:rsidRPr="00225663" w:rsidRDefault="00087F78" w:rsidP="00087F78">
      <w:pPr>
        <w:ind w:firstLine="709"/>
        <w:jc w:val="both"/>
        <w:rPr>
          <w:szCs w:val="28"/>
        </w:rPr>
      </w:pPr>
      <w:r w:rsidRPr="00225663">
        <w:rPr>
          <w:szCs w:val="28"/>
        </w:rPr>
        <w:t xml:space="preserve">В ходе проведения мониторинга были проанализированы  и выявлены причины (риски), затрудняющие реализацию мероприятий национальных проектов, это: </w:t>
      </w:r>
    </w:p>
    <w:p w:rsidR="00087F78" w:rsidRPr="00F7211B" w:rsidRDefault="00087F78" w:rsidP="00087F78">
      <w:pPr>
        <w:ind w:firstLine="709"/>
        <w:jc w:val="both"/>
        <w:rPr>
          <w:rFonts w:eastAsia="Calibri"/>
          <w:szCs w:val="28"/>
        </w:rPr>
      </w:pPr>
      <w:r w:rsidRPr="00F7211B">
        <w:rPr>
          <w:i/>
          <w:szCs w:val="28"/>
        </w:rPr>
        <w:t>-</w:t>
      </w:r>
      <w:r w:rsidRPr="00F7211B">
        <w:rPr>
          <w:szCs w:val="28"/>
        </w:rPr>
        <w:t>неоднократное проведение повторных аукционов по причине отсутствия необходимых товаров, услуг (жилые помещения в рамках программы переселения из АЖФ, отсутствие подрядчиков на выполнение работ по ремонту сельского дома культуры);</w:t>
      </w:r>
    </w:p>
    <w:p w:rsidR="00087F78" w:rsidRPr="00F7211B" w:rsidRDefault="00087F78" w:rsidP="00087F78">
      <w:pPr>
        <w:ind w:firstLine="709"/>
        <w:jc w:val="both"/>
        <w:rPr>
          <w:szCs w:val="28"/>
        </w:rPr>
      </w:pPr>
      <w:r w:rsidRPr="00F7211B">
        <w:rPr>
          <w:szCs w:val="28"/>
        </w:rPr>
        <w:t>- низкий процент освоения выделенных бюджетных ассигнований на отчетную дату.</w:t>
      </w:r>
    </w:p>
    <w:p w:rsidR="00087F78" w:rsidRPr="00F7211B" w:rsidRDefault="00087F78" w:rsidP="00087F78">
      <w:pPr>
        <w:ind w:firstLine="426"/>
        <w:jc w:val="both"/>
        <w:rPr>
          <w:b/>
          <w:i/>
          <w:szCs w:val="28"/>
        </w:rPr>
      </w:pPr>
      <w:r w:rsidRPr="00F7211B">
        <w:rPr>
          <w:bCs/>
          <w:spacing w:val="4"/>
          <w:szCs w:val="28"/>
        </w:rPr>
        <w:t xml:space="preserve">Результаты мониторинга были направлены в Думу муниципального района и Главе Администрации муниципального района Новгородской области. </w:t>
      </w:r>
    </w:p>
    <w:p w:rsidR="00087F78" w:rsidRPr="00F7211B" w:rsidRDefault="00087F78" w:rsidP="00225663">
      <w:pPr>
        <w:pStyle w:val="af"/>
        <w:spacing w:before="0" w:beforeAutospacing="0" w:after="0" w:afterAutospacing="0"/>
        <w:ind w:left="284" w:firstLine="142"/>
        <w:jc w:val="center"/>
        <w:rPr>
          <w:rFonts w:ascii="Times New Roman" w:hAnsi="Times New Roman"/>
          <w:b/>
          <w:sz w:val="28"/>
          <w:szCs w:val="28"/>
        </w:rPr>
      </w:pPr>
      <w:r w:rsidRPr="00F7211B">
        <w:rPr>
          <w:rFonts w:ascii="Times New Roman" w:hAnsi="Times New Roman"/>
          <w:b/>
          <w:sz w:val="28"/>
          <w:szCs w:val="28"/>
        </w:rPr>
        <w:t>Результаты контрольной деятельности</w:t>
      </w:r>
    </w:p>
    <w:p w:rsidR="00087F78" w:rsidRPr="00F7211B" w:rsidRDefault="00087F78" w:rsidP="00225663">
      <w:pPr>
        <w:pStyle w:val="af5"/>
        <w:ind w:firstLine="709"/>
        <w:jc w:val="both"/>
        <w:rPr>
          <w:sz w:val="28"/>
          <w:szCs w:val="28"/>
        </w:rPr>
      </w:pPr>
      <w:r w:rsidRPr="00F7211B">
        <w:rPr>
          <w:sz w:val="28"/>
          <w:szCs w:val="28"/>
        </w:rPr>
        <w:t>Выявленные нарушения отражены в отчетах Счётной палаты и доведены до должностных лиц объектов проверок.</w:t>
      </w:r>
    </w:p>
    <w:p w:rsidR="00087F78" w:rsidRPr="00F7211B" w:rsidRDefault="00087F78" w:rsidP="00225663">
      <w:pPr>
        <w:pStyle w:val="af"/>
        <w:spacing w:before="0" w:beforeAutospacing="0" w:after="0" w:afterAutospacing="0"/>
        <w:ind w:firstLine="709"/>
        <w:jc w:val="both"/>
        <w:rPr>
          <w:rFonts w:ascii="Times New Roman" w:hAnsi="Times New Roman"/>
          <w:sz w:val="28"/>
          <w:szCs w:val="28"/>
        </w:rPr>
      </w:pPr>
      <w:r w:rsidRPr="00F7211B">
        <w:rPr>
          <w:rFonts w:ascii="Times New Roman" w:hAnsi="Times New Roman"/>
          <w:sz w:val="28"/>
          <w:szCs w:val="28"/>
        </w:rPr>
        <w:t>Следует отметить, что аудит в сфере закупок, который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проводится в рамках каждого контрольного мероприятия.</w:t>
      </w:r>
    </w:p>
    <w:p w:rsidR="00087F78" w:rsidRPr="00225663" w:rsidRDefault="00087F78" w:rsidP="00225663">
      <w:pPr>
        <w:pStyle w:val="af"/>
        <w:spacing w:before="0" w:beforeAutospacing="0" w:after="0" w:afterAutospacing="0"/>
        <w:ind w:firstLine="709"/>
        <w:jc w:val="both"/>
        <w:rPr>
          <w:rFonts w:ascii="Times New Roman" w:eastAsia="Calibri" w:hAnsi="Times New Roman"/>
          <w:sz w:val="28"/>
          <w:szCs w:val="28"/>
          <w:lang w:eastAsia="en-US"/>
        </w:rPr>
      </w:pPr>
      <w:r w:rsidRPr="00225663">
        <w:rPr>
          <w:rFonts w:ascii="Times New Roman" w:hAnsi="Times New Roman"/>
          <w:sz w:val="28"/>
          <w:szCs w:val="28"/>
        </w:rPr>
        <w:t>Общая сумма  охваченных проверками бюджетных средств  составила 57909,7 тыс. рублей. Сумма нарушений, установленная в ходе проверок, составила  4312,5 тыс. рублей, или 7,4 процент.</w:t>
      </w:r>
      <w:r w:rsidRPr="00225663">
        <w:rPr>
          <w:rFonts w:ascii="Times New Roman" w:eastAsia="Calibri" w:hAnsi="Times New Roman"/>
          <w:sz w:val="28"/>
          <w:szCs w:val="28"/>
          <w:lang w:eastAsia="en-US"/>
        </w:rPr>
        <w:t xml:space="preserve">  </w:t>
      </w:r>
    </w:p>
    <w:p w:rsidR="00087F78" w:rsidRPr="00F7211B" w:rsidRDefault="00087F78" w:rsidP="00225663">
      <w:pPr>
        <w:pStyle w:val="af"/>
        <w:spacing w:before="0" w:beforeAutospacing="0" w:after="0" w:afterAutospacing="0"/>
        <w:ind w:firstLine="709"/>
        <w:jc w:val="both"/>
        <w:rPr>
          <w:rFonts w:ascii="Times New Roman" w:hAnsi="Times New Roman"/>
          <w:sz w:val="28"/>
          <w:szCs w:val="28"/>
        </w:rPr>
      </w:pPr>
      <w:r w:rsidRPr="00F7211B">
        <w:rPr>
          <w:rFonts w:ascii="Times New Roman" w:hAnsi="Times New Roman"/>
          <w:sz w:val="28"/>
          <w:szCs w:val="28"/>
        </w:rPr>
        <w:t>Контрольные мероприятия проводились в соответствии с утвержденным годовым планом работы Счётной палаты, а именно:</w:t>
      </w:r>
    </w:p>
    <w:p w:rsidR="00087F78" w:rsidRPr="00F7211B" w:rsidRDefault="00087F78" w:rsidP="00225663">
      <w:pPr>
        <w:pStyle w:val="af"/>
        <w:spacing w:before="0" w:beforeAutospacing="0" w:after="0" w:afterAutospacing="0"/>
        <w:ind w:firstLine="709"/>
        <w:jc w:val="both"/>
        <w:rPr>
          <w:rStyle w:val="aff9"/>
          <w:rFonts w:ascii="Times New Roman" w:hAnsi="Times New Roman"/>
          <w:b/>
          <w:i w:val="0"/>
          <w:sz w:val="28"/>
          <w:szCs w:val="28"/>
        </w:rPr>
      </w:pPr>
      <w:r w:rsidRPr="00F7211B">
        <w:rPr>
          <w:rFonts w:ascii="Times New Roman" w:hAnsi="Times New Roman"/>
          <w:b/>
          <w:sz w:val="28"/>
          <w:szCs w:val="28"/>
        </w:rPr>
        <w:t xml:space="preserve">1. </w:t>
      </w:r>
      <w:r w:rsidRPr="00F7211B">
        <w:rPr>
          <w:rFonts w:ascii="Times New Roman" w:hAnsi="Times New Roman"/>
          <w:b/>
          <w:bCs/>
          <w:sz w:val="28"/>
          <w:szCs w:val="28"/>
        </w:rPr>
        <w:t>Проверка</w:t>
      </w:r>
      <w:r w:rsidRPr="00F7211B">
        <w:rPr>
          <w:rFonts w:ascii="Times New Roman" w:hAnsi="Times New Roman"/>
          <w:b/>
          <w:sz w:val="28"/>
          <w:szCs w:val="28"/>
        </w:rPr>
        <w:t xml:space="preserve"> формирования и расходования фонда оплаты труда и соответствия фактической оплаты труда действующему законодательству и локальным правовым актам в  </w:t>
      </w:r>
      <w:r w:rsidRPr="00F7211B">
        <w:rPr>
          <w:rStyle w:val="af3"/>
          <w:rFonts w:ascii="Times New Roman" w:hAnsi="Times New Roman"/>
          <w:sz w:val="28"/>
          <w:szCs w:val="28"/>
        </w:rPr>
        <w:t>муниципальном бюджетном учреждении</w:t>
      </w:r>
      <w:r w:rsidRPr="00F7211B">
        <w:rPr>
          <w:rStyle w:val="af3"/>
          <w:rFonts w:ascii="Times New Roman" w:hAnsi="Times New Roman"/>
          <w:b w:val="0"/>
          <w:i/>
          <w:sz w:val="28"/>
          <w:szCs w:val="28"/>
        </w:rPr>
        <w:t xml:space="preserve"> </w:t>
      </w:r>
      <w:r w:rsidRPr="00F7211B">
        <w:rPr>
          <w:rStyle w:val="aff9"/>
          <w:rFonts w:ascii="Times New Roman" w:hAnsi="Times New Roman"/>
          <w:i w:val="0"/>
          <w:sz w:val="28"/>
          <w:szCs w:val="28"/>
        </w:rPr>
        <w:t>«Центр бухгалтерского и хозяйственного обслуживания учреждений культуры Маловишерского муниципального района» за 2020 год, текущий период 2021 года:</w:t>
      </w:r>
    </w:p>
    <w:p w:rsidR="00087F78" w:rsidRPr="00F7211B" w:rsidRDefault="00087F78" w:rsidP="00225663">
      <w:pPr>
        <w:pStyle w:val="af"/>
        <w:spacing w:before="0" w:beforeAutospacing="0" w:after="0" w:afterAutospacing="0"/>
        <w:ind w:firstLine="709"/>
        <w:jc w:val="both"/>
        <w:rPr>
          <w:rStyle w:val="aff9"/>
          <w:rFonts w:ascii="Times New Roman" w:hAnsi="Times New Roman"/>
          <w:i w:val="0"/>
          <w:sz w:val="28"/>
          <w:szCs w:val="28"/>
        </w:rPr>
      </w:pPr>
      <w:r w:rsidRPr="00F7211B">
        <w:rPr>
          <w:rStyle w:val="aff9"/>
          <w:rFonts w:ascii="Times New Roman" w:hAnsi="Times New Roman"/>
          <w:i w:val="0"/>
          <w:sz w:val="28"/>
          <w:szCs w:val="28"/>
        </w:rPr>
        <w:lastRenderedPageBreak/>
        <w:t>Данным контрольным мероприятием установлены нарушения в ходе исполнения бюджетов в общей сумме 1258,6 тыс. рублей или 29% от общей суммы нарушений, а именно:</w:t>
      </w:r>
    </w:p>
    <w:p w:rsidR="00087F78" w:rsidRPr="00F7211B" w:rsidRDefault="00087F78" w:rsidP="00225663">
      <w:pPr>
        <w:autoSpaceDE w:val="0"/>
        <w:autoSpaceDN w:val="0"/>
        <w:adjustRightInd w:val="0"/>
        <w:ind w:firstLine="709"/>
        <w:jc w:val="both"/>
        <w:rPr>
          <w:szCs w:val="28"/>
        </w:rPr>
      </w:pPr>
      <w:r w:rsidRPr="00F7211B">
        <w:rPr>
          <w:szCs w:val="28"/>
        </w:rPr>
        <w:t>1) применяемые в Учреждении Положения о моральном и материальном стимулировании работников в большей части дублируют Положения об оплате труда;</w:t>
      </w:r>
    </w:p>
    <w:p w:rsidR="00087F78" w:rsidRPr="00F7211B" w:rsidRDefault="00087F78" w:rsidP="00225663">
      <w:pPr>
        <w:autoSpaceDE w:val="0"/>
        <w:autoSpaceDN w:val="0"/>
        <w:adjustRightInd w:val="0"/>
        <w:ind w:firstLine="709"/>
        <w:jc w:val="both"/>
        <w:rPr>
          <w:szCs w:val="28"/>
        </w:rPr>
      </w:pPr>
      <w:r w:rsidRPr="00F7211B">
        <w:rPr>
          <w:szCs w:val="28"/>
        </w:rPr>
        <w:t xml:space="preserve">2)  проверкой установлены замечания по порядку формирования штатного расписания, выявлено не обоснованное завышение штатной численности работников Учреждения, </w:t>
      </w:r>
    </w:p>
    <w:p w:rsidR="00087F78" w:rsidRPr="00F7211B" w:rsidRDefault="00087F78" w:rsidP="00225663">
      <w:pPr>
        <w:autoSpaceDE w:val="0"/>
        <w:autoSpaceDN w:val="0"/>
        <w:adjustRightInd w:val="0"/>
        <w:ind w:firstLine="709"/>
        <w:jc w:val="both"/>
        <w:rPr>
          <w:szCs w:val="28"/>
        </w:rPr>
      </w:pPr>
      <w:r w:rsidRPr="00F7211B">
        <w:rPr>
          <w:szCs w:val="28"/>
        </w:rPr>
        <w:t xml:space="preserve">3) в 2020-2021 годах фонд оплаты труда  сформирован из расчета 13 месяцев, вместо 12, что привело к </w:t>
      </w:r>
      <w:r w:rsidRPr="00F7211B">
        <w:rPr>
          <w:b/>
          <w:szCs w:val="28"/>
        </w:rPr>
        <w:t xml:space="preserve">избыточным расходам бюджетных средств в сумме 1169,3 тыс. рублей </w:t>
      </w:r>
      <w:r w:rsidRPr="00F7211B">
        <w:rPr>
          <w:szCs w:val="28"/>
        </w:rPr>
        <w:t>при исполнении плана финансово-хозяйственной деятельности,</w:t>
      </w:r>
    </w:p>
    <w:p w:rsidR="00087F78" w:rsidRPr="00F7211B" w:rsidRDefault="00087F78" w:rsidP="00225663">
      <w:pPr>
        <w:autoSpaceDE w:val="0"/>
        <w:autoSpaceDN w:val="0"/>
        <w:adjustRightInd w:val="0"/>
        <w:ind w:firstLine="709"/>
        <w:jc w:val="both"/>
        <w:rPr>
          <w:szCs w:val="28"/>
        </w:rPr>
      </w:pPr>
      <w:r w:rsidRPr="00F7211B">
        <w:rPr>
          <w:szCs w:val="28"/>
        </w:rPr>
        <w:t>4) Учреждением не во всех случаях заключались дополнительные соглашения по изменению определенных сторонами условий трудовых договоров,</w:t>
      </w:r>
    </w:p>
    <w:p w:rsidR="00087F78" w:rsidRPr="00F7211B" w:rsidRDefault="00087F78" w:rsidP="00225663">
      <w:pPr>
        <w:autoSpaceDE w:val="0"/>
        <w:autoSpaceDN w:val="0"/>
        <w:adjustRightInd w:val="0"/>
        <w:ind w:firstLine="709"/>
        <w:jc w:val="both"/>
        <w:rPr>
          <w:szCs w:val="28"/>
        </w:rPr>
      </w:pPr>
      <w:r w:rsidRPr="00F7211B">
        <w:rPr>
          <w:szCs w:val="28"/>
        </w:rPr>
        <w:t xml:space="preserve">5) установлены замечания по заполнению  первичных учетных документов (Табель учета рабочего времени, карточки-справки </w:t>
      </w:r>
      <w:r w:rsidRPr="00F7211B">
        <w:rPr>
          <w:bCs/>
          <w:szCs w:val="28"/>
        </w:rPr>
        <w:t>(ф. 0504417)),</w:t>
      </w:r>
    </w:p>
    <w:p w:rsidR="00087F78" w:rsidRPr="00F7211B" w:rsidRDefault="00087F78" w:rsidP="00225663">
      <w:pPr>
        <w:autoSpaceDE w:val="0"/>
        <w:autoSpaceDN w:val="0"/>
        <w:adjustRightInd w:val="0"/>
        <w:ind w:firstLine="709"/>
        <w:jc w:val="both"/>
        <w:rPr>
          <w:szCs w:val="28"/>
        </w:rPr>
      </w:pPr>
      <w:r w:rsidRPr="00F7211B">
        <w:rPr>
          <w:szCs w:val="28"/>
        </w:rPr>
        <w:t xml:space="preserve">6) проверкой установлены  </w:t>
      </w:r>
      <w:r w:rsidRPr="00F7211B">
        <w:rPr>
          <w:b/>
          <w:szCs w:val="28"/>
        </w:rPr>
        <w:t>недоплата (переплаты) работникам</w:t>
      </w:r>
      <w:r w:rsidRPr="00F7211B">
        <w:rPr>
          <w:szCs w:val="28"/>
        </w:rPr>
        <w:t>,</w:t>
      </w:r>
    </w:p>
    <w:p w:rsidR="00087F78" w:rsidRPr="00225663" w:rsidRDefault="00087F78" w:rsidP="00225663">
      <w:pPr>
        <w:ind w:firstLine="709"/>
        <w:jc w:val="both"/>
        <w:rPr>
          <w:szCs w:val="28"/>
        </w:rPr>
      </w:pPr>
      <w:r w:rsidRPr="00225663">
        <w:rPr>
          <w:szCs w:val="28"/>
        </w:rPr>
        <w:t>7) отсутствие определенных сроков  по начислению персональных повышающих коэффициентов и их выплата только по решению директора, а так же формальный подход к оценке выплат за интенсивность и высокие результаты работы, свидетельствуют о широте дискреционных полномочий должностного лица и может свидетельствовать о наличии коррупционного риска,</w:t>
      </w:r>
    </w:p>
    <w:p w:rsidR="00087F78" w:rsidRPr="00225663" w:rsidRDefault="00087F78" w:rsidP="00225663">
      <w:pPr>
        <w:ind w:firstLine="709"/>
        <w:jc w:val="both"/>
        <w:rPr>
          <w:szCs w:val="28"/>
        </w:rPr>
      </w:pPr>
      <w:r w:rsidRPr="00225663">
        <w:rPr>
          <w:szCs w:val="28"/>
        </w:rPr>
        <w:t xml:space="preserve">8) руководителем Учреждения не обеспечено соблюдение  требований Профстандартов по образованию к отдельным должностям, что свидетельствует о  признаках состава административного правонарушения по ст.5.27.1. КоАП РФ. Отсутствие требований к образованию привело </w:t>
      </w:r>
      <w:r w:rsidRPr="00225663">
        <w:rPr>
          <w:b/>
          <w:szCs w:val="28"/>
        </w:rPr>
        <w:t>к необоснованной выплате</w:t>
      </w:r>
      <w:r w:rsidRPr="00225663">
        <w:rPr>
          <w:szCs w:val="28"/>
        </w:rPr>
        <w:t xml:space="preserve"> за профессиональную подготовку в размере </w:t>
      </w:r>
      <w:r w:rsidRPr="00225663">
        <w:rPr>
          <w:b/>
          <w:szCs w:val="28"/>
        </w:rPr>
        <w:t>89,3 тыс. рублей</w:t>
      </w:r>
      <w:r w:rsidRPr="00225663">
        <w:rPr>
          <w:szCs w:val="28"/>
        </w:rPr>
        <w:t xml:space="preserve"> и подлежит взысканию в бюджет в соответствии со статьей 137 Трудового Кодекса РФ.</w:t>
      </w:r>
    </w:p>
    <w:p w:rsidR="00087F78" w:rsidRPr="00225663" w:rsidRDefault="00087F78" w:rsidP="00225663">
      <w:pPr>
        <w:ind w:firstLine="709"/>
        <w:jc w:val="both"/>
        <w:rPr>
          <w:szCs w:val="28"/>
        </w:rPr>
      </w:pPr>
      <w:r w:rsidRPr="00225663">
        <w:rPr>
          <w:szCs w:val="28"/>
        </w:rPr>
        <w:t>9)  Положениями  о фонде оплаты труда размер материальной помощи не определен, руководителем принимается единоличное решение о ее размере, что свидетельствует о широте дискреционных полномочий должностного лица и может свидетельствовать о наличии коррупционного риска.</w:t>
      </w:r>
    </w:p>
    <w:p w:rsidR="00087F78" w:rsidRPr="00225663" w:rsidRDefault="00087F78" w:rsidP="00225663">
      <w:pPr>
        <w:ind w:right="-6" w:firstLine="709"/>
        <w:jc w:val="both"/>
        <w:rPr>
          <w:rStyle w:val="af3"/>
          <w:b w:val="0"/>
          <w:szCs w:val="28"/>
        </w:rPr>
      </w:pPr>
      <w:r w:rsidRPr="00225663">
        <w:rPr>
          <w:rStyle w:val="af3"/>
          <w:b w:val="0"/>
          <w:szCs w:val="28"/>
        </w:rPr>
        <w:t xml:space="preserve">По результатам проверки 5 должностных лиц привлечены к дисциплинарной ответственности ( объявлено замечание). Обеспечен возврат в бюджет  в сумме 89,3 тыс. рублей. Направлено информационное письмо в адрес  </w:t>
      </w:r>
      <w:r w:rsidRPr="00225663">
        <w:rPr>
          <w:szCs w:val="28"/>
        </w:rPr>
        <w:t>Государственной инспекции труда  в Новгородской области.</w:t>
      </w:r>
    </w:p>
    <w:p w:rsidR="00087F78" w:rsidRPr="00F7211B" w:rsidRDefault="00087F78" w:rsidP="00087F78">
      <w:pPr>
        <w:pStyle w:val="2a"/>
        <w:jc w:val="center"/>
        <w:rPr>
          <w:rStyle w:val="af3"/>
          <w:b w:val="0"/>
          <w:i/>
          <w:sz w:val="28"/>
          <w:szCs w:val="28"/>
        </w:rPr>
      </w:pPr>
    </w:p>
    <w:p w:rsidR="00087F78" w:rsidRPr="00F7211B" w:rsidRDefault="00087F78" w:rsidP="00087F78">
      <w:pPr>
        <w:ind w:right="99" w:firstLine="426"/>
        <w:jc w:val="both"/>
        <w:rPr>
          <w:b/>
          <w:szCs w:val="28"/>
        </w:rPr>
      </w:pPr>
      <w:r w:rsidRPr="00F7211B">
        <w:rPr>
          <w:b/>
          <w:szCs w:val="28"/>
          <w:lang w:eastAsia="en-US"/>
        </w:rPr>
        <w:t xml:space="preserve">2. </w:t>
      </w:r>
      <w:r w:rsidRPr="00F7211B">
        <w:rPr>
          <w:b/>
          <w:szCs w:val="28"/>
        </w:rPr>
        <w:t>Проверка соблюдения бюджетного законодательства и анализа бюджетного процесса  в Большевишерском городском поселении в текущем периоде</w:t>
      </w:r>
    </w:p>
    <w:p w:rsidR="00087F78" w:rsidRPr="00F7211B" w:rsidRDefault="00087F78" w:rsidP="00225663">
      <w:pPr>
        <w:pStyle w:val="af"/>
        <w:spacing w:before="0" w:beforeAutospacing="0" w:after="0" w:afterAutospacing="0"/>
        <w:ind w:firstLine="709"/>
        <w:jc w:val="both"/>
        <w:rPr>
          <w:rStyle w:val="aff9"/>
          <w:rFonts w:ascii="Times New Roman" w:hAnsi="Times New Roman"/>
          <w:i w:val="0"/>
          <w:sz w:val="28"/>
          <w:szCs w:val="28"/>
        </w:rPr>
      </w:pPr>
      <w:r w:rsidRPr="00F7211B">
        <w:rPr>
          <w:rStyle w:val="aff9"/>
          <w:rFonts w:ascii="Times New Roman" w:hAnsi="Times New Roman"/>
          <w:i w:val="0"/>
          <w:sz w:val="28"/>
          <w:szCs w:val="28"/>
        </w:rPr>
        <w:lastRenderedPageBreak/>
        <w:t>Нарушения установлены  только в количественном выражении в ходе формирования бюджетов, а именно:</w:t>
      </w:r>
    </w:p>
    <w:p w:rsidR="00087F78" w:rsidRPr="00F7211B" w:rsidRDefault="00087F78" w:rsidP="00225663">
      <w:pPr>
        <w:autoSpaceDE w:val="0"/>
        <w:adjustRightInd w:val="0"/>
        <w:ind w:firstLine="709"/>
        <w:jc w:val="both"/>
        <w:rPr>
          <w:szCs w:val="28"/>
        </w:rPr>
      </w:pPr>
      <w:r w:rsidRPr="00F7211B">
        <w:rPr>
          <w:szCs w:val="28"/>
        </w:rPr>
        <w:t xml:space="preserve">Выявлены многочисленные замечания в нормативно-правовой базе, регулирующей бюджетное законодательство при формировании и исполнении бюджета поселения. </w:t>
      </w:r>
    </w:p>
    <w:p w:rsidR="00087F78" w:rsidRPr="00225663" w:rsidRDefault="00087F78" w:rsidP="00225663">
      <w:pPr>
        <w:autoSpaceDE w:val="0"/>
        <w:adjustRightInd w:val="0"/>
        <w:ind w:firstLine="709"/>
        <w:jc w:val="both"/>
        <w:rPr>
          <w:szCs w:val="28"/>
        </w:rPr>
      </w:pPr>
      <w:r w:rsidRPr="00225663">
        <w:rPr>
          <w:szCs w:val="28"/>
        </w:rPr>
        <w:t>Представление Счётной палаты исполнено частично и остается на контроле.</w:t>
      </w:r>
    </w:p>
    <w:p w:rsidR="00087F78" w:rsidRPr="00225663" w:rsidRDefault="00087F78" w:rsidP="00225663">
      <w:pPr>
        <w:autoSpaceDE w:val="0"/>
        <w:adjustRightInd w:val="0"/>
        <w:ind w:firstLine="709"/>
        <w:jc w:val="both"/>
        <w:rPr>
          <w:szCs w:val="28"/>
        </w:rPr>
      </w:pPr>
      <w:r w:rsidRPr="00225663">
        <w:rPr>
          <w:szCs w:val="28"/>
        </w:rPr>
        <w:t>По результатам проверки к дисциплинарной ответственности привлечено одно должностное лицо( объявлено замечание).</w:t>
      </w:r>
    </w:p>
    <w:p w:rsidR="00087F78" w:rsidRPr="00F7211B" w:rsidRDefault="00087F78" w:rsidP="00087F78">
      <w:pPr>
        <w:ind w:right="99" w:firstLine="426"/>
        <w:jc w:val="both"/>
        <w:rPr>
          <w:b/>
          <w:szCs w:val="28"/>
        </w:rPr>
      </w:pPr>
      <w:r w:rsidRPr="00F7211B">
        <w:rPr>
          <w:b/>
          <w:szCs w:val="28"/>
        </w:rPr>
        <w:t xml:space="preserve">3. </w:t>
      </w:r>
      <w:r w:rsidRPr="00F7211B">
        <w:rPr>
          <w:b/>
          <w:szCs w:val="28"/>
          <w:lang w:eastAsia="en-US"/>
        </w:rPr>
        <w:t>Проверка</w:t>
      </w:r>
      <w:r w:rsidRPr="00F7211B">
        <w:rPr>
          <w:b/>
          <w:szCs w:val="28"/>
        </w:rPr>
        <w:t xml:space="preserve"> целевого и эффективного использования средств областного бюджета и местных бюджетов, направленных на создание и развитии инфраструктуры на сельских территориях, в рамках государственной программы  Новгородской области "Комплексное развитие сельских территорий Новгородской области до 2025 года</w:t>
      </w:r>
      <w:r w:rsidRPr="00F7211B">
        <w:rPr>
          <w:b/>
          <w:i/>
          <w:szCs w:val="28"/>
        </w:rPr>
        <w:t>»</w:t>
      </w:r>
      <w:r w:rsidRPr="00F7211B">
        <w:rPr>
          <w:rStyle w:val="aff9"/>
          <w:i w:val="0"/>
          <w:szCs w:val="28"/>
        </w:rPr>
        <w:t xml:space="preserve"> за 2020- 2021годы, текущий период 2022 года</w:t>
      </w:r>
      <w:r w:rsidRPr="00F7211B">
        <w:rPr>
          <w:rStyle w:val="aff9"/>
          <w:szCs w:val="28"/>
        </w:rPr>
        <w:t xml:space="preserve"> </w:t>
      </w:r>
      <w:r w:rsidRPr="00F7211B">
        <w:rPr>
          <w:b/>
          <w:szCs w:val="28"/>
        </w:rPr>
        <w:t>в Администрации Бургинского сельского поселения</w:t>
      </w:r>
    </w:p>
    <w:p w:rsidR="00087F78" w:rsidRPr="00F7211B" w:rsidRDefault="00087F78" w:rsidP="00F7211B">
      <w:pPr>
        <w:pStyle w:val="af"/>
        <w:spacing w:before="0" w:beforeAutospacing="0" w:after="0" w:afterAutospacing="0"/>
        <w:ind w:firstLine="709"/>
        <w:jc w:val="both"/>
        <w:rPr>
          <w:rStyle w:val="aff9"/>
          <w:rFonts w:ascii="Times New Roman" w:hAnsi="Times New Roman"/>
          <w:i w:val="0"/>
          <w:sz w:val="28"/>
          <w:szCs w:val="28"/>
        </w:rPr>
      </w:pPr>
      <w:r w:rsidRPr="00F7211B">
        <w:rPr>
          <w:rStyle w:val="aff9"/>
          <w:rFonts w:ascii="Times New Roman" w:hAnsi="Times New Roman"/>
          <w:i w:val="0"/>
          <w:sz w:val="28"/>
          <w:szCs w:val="28"/>
        </w:rPr>
        <w:t>Контрольным мероприятием установлены нарушения в ходе исполнения бюджетов, а также нарушения при осуществлении муниципальных закупок в общей сумме 3053,9 тыс. рублей или 71% от общей суммы нарушений, а именно:</w:t>
      </w:r>
    </w:p>
    <w:p w:rsidR="00087F78" w:rsidRPr="00F7211B" w:rsidRDefault="00087F78" w:rsidP="00F7211B">
      <w:pPr>
        <w:autoSpaceDE w:val="0"/>
        <w:autoSpaceDN w:val="0"/>
        <w:adjustRightInd w:val="0"/>
        <w:ind w:firstLine="426"/>
        <w:jc w:val="both"/>
        <w:outlineLvl w:val="0"/>
        <w:rPr>
          <w:szCs w:val="28"/>
        </w:rPr>
      </w:pPr>
      <w:r w:rsidRPr="00F7211B">
        <w:rPr>
          <w:szCs w:val="28"/>
        </w:rPr>
        <w:t>1) В 2021 году на реализацию общественно значимых проектов по благоустройству сельских территорий Новгородской области нарушен процент софинансирования, предусмотренный пунктом 4 Порядка предоставления и распределения субсидий</w:t>
      </w:r>
      <w:r w:rsidRPr="00F7211B">
        <w:rPr>
          <w:rStyle w:val="afc"/>
          <w:szCs w:val="28"/>
        </w:rPr>
        <w:footnoteReference w:id="3"/>
      </w:r>
      <w:r w:rsidRPr="00F7211B">
        <w:rPr>
          <w:szCs w:val="28"/>
        </w:rPr>
        <w:t>.</w:t>
      </w:r>
    </w:p>
    <w:p w:rsidR="00087F78" w:rsidRPr="00F7211B" w:rsidRDefault="00087F78" w:rsidP="00087F78">
      <w:pPr>
        <w:ind w:right="-6" w:firstLine="426"/>
        <w:jc w:val="both"/>
        <w:rPr>
          <w:rFonts w:eastAsia="MS Mincho"/>
          <w:szCs w:val="28"/>
          <w:lang w:eastAsia="ja-JP"/>
        </w:rPr>
      </w:pPr>
      <w:r w:rsidRPr="00F7211B">
        <w:rPr>
          <w:szCs w:val="28"/>
        </w:rPr>
        <w:t xml:space="preserve"> 2) </w:t>
      </w:r>
      <w:r w:rsidRPr="00F7211B">
        <w:rPr>
          <w:bCs/>
          <w:szCs w:val="28"/>
        </w:rPr>
        <w:t>Источники финансирования, предусмотренные муниципальной программой на 2022 год, не согласуются с источниками финансирования в соответствии с представленным уведомлением по расчетам между бюджетами</w:t>
      </w:r>
      <w:r w:rsidRPr="00F7211B">
        <w:rPr>
          <w:rFonts w:eastAsia="MS Mincho"/>
          <w:szCs w:val="28"/>
          <w:lang w:eastAsia="ja-JP"/>
        </w:rPr>
        <w:t xml:space="preserve">. </w:t>
      </w:r>
    </w:p>
    <w:p w:rsidR="00087F78" w:rsidRPr="00F7211B" w:rsidRDefault="00087F78" w:rsidP="00F7211B">
      <w:pPr>
        <w:ind w:firstLine="426"/>
        <w:jc w:val="both"/>
        <w:rPr>
          <w:szCs w:val="28"/>
        </w:rPr>
      </w:pPr>
      <w:r w:rsidRPr="00F7211B">
        <w:rPr>
          <w:szCs w:val="28"/>
        </w:rPr>
        <w:t>3) Администрацией поселения в 2021-2022 годах приняты бюджетные обязательства, превышающие пределы доведенных ему лимитов бюджетных обязательств, в общей сумме 5,9 тыс. рублей.</w:t>
      </w:r>
    </w:p>
    <w:p w:rsidR="00087F78" w:rsidRPr="00F7211B" w:rsidRDefault="00087F78" w:rsidP="00087F78">
      <w:pPr>
        <w:ind w:firstLine="426"/>
        <w:jc w:val="both"/>
        <w:rPr>
          <w:i/>
          <w:szCs w:val="28"/>
        </w:rPr>
      </w:pPr>
      <w:r w:rsidRPr="00F7211B">
        <w:rPr>
          <w:szCs w:val="28"/>
        </w:rPr>
        <w:t xml:space="preserve"> 4) П</w:t>
      </w:r>
      <w:r w:rsidRPr="00F7211B">
        <w:rPr>
          <w:color w:val="000000"/>
          <w:szCs w:val="28"/>
        </w:rPr>
        <w:t xml:space="preserve">ри заключении договора подряда не указан объем выполняемой работы, что не </w:t>
      </w:r>
      <w:r w:rsidRPr="00F7211B">
        <w:rPr>
          <w:szCs w:val="28"/>
        </w:rPr>
        <w:t xml:space="preserve">позволяет определить предмет договора подряда, и нарушает требования </w:t>
      </w:r>
      <w:hyperlink r:id="rId10" w:history="1">
        <w:r w:rsidRPr="00F7211B">
          <w:rPr>
            <w:szCs w:val="28"/>
          </w:rPr>
          <w:t>частей 1 статей 702</w:t>
        </w:r>
      </w:hyperlink>
      <w:r w:rsidRPr="00F7211B">
        <w:rPr>
          <w:szCs w:val="28"/>
        </w:rPr>
        <w:t xml:space="preserve"> и </w:t>
      </w:r>
      <w:hyperlink r:id="rId11" w:history="1">
        <w:r w:rsidRPr="00F7211B">
          <w:rPr>
            <w:szCs w:val="28"/>
          </w:rPr>
          <w:t>703</w:t>
        </w:r>
      </w:hyperlink>
      <w:r w:rsidRPr="00F7211B">
        <w:rPr>
          <w:szCs w:val="28"/>
        </w:rPr>
        <w:t xml:space="preserve"> Гражданского Кодекса РФ.</w:t>
      </w:r>
    </w:p>
    <w:p w:rsidR="00087F78" w:rsidRPr="00F7211B" w:rsidRDefault="00087F78" w:rsidP="00087F78">
      <w:pPr>
        <w:ind w:firstLine="240"/>
        <w:jc w:val="both"/>
        <w:rPr>
          <w:szCs w:val="28"/>
        </w:rPr>
      </w:pPr>
      <w:r w:rsidRPr="00F7211B">
        <w:rPr>
          <w:szCs w:val="28"/>
        </w:rPr>
        <w:t xml:space="preserve">    5) </w:t>
      </w:r>
      <w:r w:rsidRPr="00F7211B">
        <w:rPr>
          <w:color w:val="000000"/>
          <w:szCs w:val="28"/>
        </w:rPr>
        <w:t xml:space="preserve">В части отражения расходов на создание объектов </w:t>
      </w:r>
      <w:r w:rsidRPr="00F7211B">
        <w:rPr>
          <w:szCs w:val="28"/>
        </w:rPr>
        <w:t>Администрацией поселения нарушены Правила применения кодов классификации операций сектора государственного управления (далее - КОСГУ), используемых для ведения органами местного  самоуправления бюджетного (бухгалтерского) учета</w:t>
      </w:r>
      <w:r w:rsidRPr="00F7211B">
        <w:rPr>
          <w:rStyle w:val="afc"/>
          <w:szCs w:val="28"/>
        </w:rPr>
        <w:footnoteReference w:id="4"/>
      </w:r>
      <w:r w:rsidRPr="00F7211B">
        <w:rPr>
          <w:szCs w:val="28"/>
        </w:rPr>
        <w:t xml:space="preserve"> в общей сумме 3048,0 тыс. рублей.</w:t>
      </w:r>
    </w:p>
    <w:p w:rsidR="00087F78" w:rsidRPr="00225663" w:rsidRDefault="00225663" w:rsidP="00225663">
      <w:pPr>
        <w:pStyle w:val="afb"/>
        <w:tabs>
          <w:tab w:val="left" w:pos="0"/>
        </w:tabs>
        <w:ind w:left="0" w:firstLine="425"/>
        <w:jc w:val="both"/>
        <w:rPr>
          <w:color w:val="000000" w:themeColor="text1"/>
          <w:sz w:val="28"/>
          <w:szCs w:val="28"/>
        </w:rPr>
      </w:pPr>
      <w:r>
        <w:rPr>
          <w:sz w:val="28"/>
          <w:szCs w:val="28"/>
        </w:rPr>
        <w:tab/>
      </w:r>
      <w:r w:rsidR="00087F78" w:rsidRPr="00225663">
        <w:rPr>
          <w:sz w:val="28"/>
          <w:szCs w:val="28"/>
        </w:rPr>
        <w:t xml:space="preserve">В </w:t>
      </w:r>
      <w:r w:rsidR="00087F78" w:rsidRPr="00225663">
        <w:rPr>
          <w:color w:val="000000" w:themeColor="text1"/>
          <w:sz w:val="28"/>
          <w:szCs w:val="28"/>
        </w:rPr>
        <w:t xml:space="preserve">рамках реализации возложенных на Счётную палату полномочий в сфере административного права на главного бухгалтера был составлен  </w:t>
      </w:r>
      <w:r w:rsidR="00087F78" w:rsidRPr="00225663">
        <w:rPr>
          <w:color w:val="000000" w:themeColor="text1"/>
          <w:sz w:val="28"/>
          <w:szCs w:val="28"/>
        </w:rPr>
        <w:lastRenderedPageBreak/>
        <w:t>протокол по статье 15.15.10. КОАП РФ, на момент составления Отчета решение о привлечении (отказе в привлечении) не вынесено.</w:t>
      </w:r>
    </w:p>
    <w:p w:rsidR="00087F78" w:rsidRPr="00F7211B" w:rsidRDefault="00087F78" w:rsidP="00087F78">
      <w:pPr>
        <w:pStyle w:val="ConsPlusNonformat"/>
        <w:numPr>
          <w:ilvl w:val="0"/>
          <w:numId w:val="46"/>
        </w:numPr>
        <w:ind w:left="0" w:firstLine="426"/>
        <w:jc w:val="both"/>
        <w:rPr>
          <w:rFonts w:ascii="Times New Roman" w:hAnsi="Times New Roman" w:cs="Times New Roman"/>
          <w:sz w:val="28"/>
          <w:szCs w:val="28"/>
        </w:rPr>
      </w:pPr>
      <w:r w:rsidRPr="00F7211B">
        <w:rPr>
          <w:rFonts w:ascii="Times New Roman" w:hAnsi="Times New Roman" w:cs="Times New Roman"/>
          <w:sz w:val="28"/>
          <w:szCs w:val="28"/>
        </w:rPr>
        <w:t xml:space="preserve"> Одной из составляющих работы Счётной палаты в 2022 году было участие в пределах полномочий в мероприятиях, направленных на противодействие коррупции. Являясь одним из исполнителей мероприятий подпрограммы «Противодействие коррупции в Маловишерском муниципальном районе» Муниципальная программа "Совершенствование системы муниципального управления в Маловишерском муниципальном районе на 2021-2025 годы" Счётная палата в отчетном периоде, как и ранее, обращала внимание на выявление признаков коррупционных правонарушений при осуществлении внешнего муниципального финансового контроля.  В отчетном периоде было установлено 3 случая.</w:t>
      </w:r>
    </w:p>
    <w:p w:rsidR="00087F78" w:rsidRPr="00F7211B" w:rsidRDefault="00087F78" w:rsidP="00087F78">
      <w:pPr>
        <w:pStyle w:val="ConsPlusNonformat"/>
        <w:ind w:firstLine="425"/>
        <w:jc w:val="both"/>
        <w:rPr>
          <w:rFonts w:ascii="Times New Roman" w:hAnsi="Times New Roman" w:cs="Times New Roman"/>
          <w:sz w:val="28"/>
          <w:szCs w:val="28"/>
        </w:rPr>
      </w:pPr>
      <w:r w:rsidRPr="00F7211B">
        <w:rPr>
          <w:rFonts w:ascii="Times New Roman" w:hAnsi="Times New Roman" w:cs="Times New Roman"/>
          <w:sz w:val="28"/>
          <w:szCs w:val="28"/>
        </w:rPr>
        <w:t>Председатель Счётной палаты постоянно принимает участие в заседаниях комиссии по противодействию коррупции.</w:t>
      </w:r>
    </w:p>
    <w:p w:rsidR="00087F78" w:rsidRPr="00F7211B" w:rsidRDefault="00087F78" w:rsidP="00087F78">
      <w:pPr>
        <w:pStyle w:val="afb"/>
        <w:numPr>
          <w:ilvl w:val="0"/>
          <w:numId w:val="44"/>
        </w:numPr>
        <w:tabs>
          <w:tab w:val="left" w:pos="709"/>
        </w:tabs>
        <w:ind w:left="0" w:firstLine="425"/>
        <w:contextualSpacing w:val="0"/>
        <w:jc w:val="both"/>
        <w:rPr>
          <w:sz w:val="28"/>
          <w:szCs w:val="28"/>
        </w:rPr>
      </w:pPr>
      <w:r w:rsidRPr="00F7211B">
        <w:rPr>
          <w:sz w:val="28"/>
          <w:szCs w:val="28"/>
        </w:rPr>
        <w:t xml:space="preserve"> В 2022 году было  продолжено взаимодействие и сотрудничество в соответствии с </w:t>
      </w:r>
      <w:r w:rsidRPr="00F7211B">
        <w:rPr>
          <w:bCs/>
          <w:sz w:val="28"/>
          <w:szCs w:val="28"/>
        </w:rPr>
        <w:t>Положением о межведомственной рабочей группе по противодействию коррупции, утвержденным распоряжением от 29.04.2016 г.</w:t>
      </w:r>
      <w:r w:rsidRPr="00F7211B">
        <w:rPr>
          <w:sz w:val="28"/>
          <w:szCs w:val="28"/>
        </w:rPr>
        <w:t xml:space="preserve"> В органы прокуратуры направлялись копии актов проверок по всем проведенным контрольным мероприятиям.</w:t>
      </w:r>
    </w:p>
    <w:p w:rsidR="00087F78" w:rsidRPr="00F7211B" w:rsidRDefault="00087F78" w:rsidP="00F7211B">
      <w:pPr>
        <w:pStyle w:val="af"/>
        <w:spacing w:before="0" w:beforeAutospacing="0" w:after="0" w:afterAutospacing="0"/>
        <w:ind w:firstLine="425"/>
        <w:jc w:val="center"/>
        <w:rPr>
          <w:rFonts w:ascii="Times New Roman" w:hAnsi="Times New Roman"/>
          <w:sz w:val="28"/>
          <w:szCs w:val="28"/>
        </w:rPr>
      </w:pPr>
      <w:r w:rsidRPr="00F7211B">
        <w:rPr>
          <w:rFonts w:ascii="Times New Roman" w:hAnsi="Times New Roman"/>
          <w:b/>
          <w:bCs/>
          <w:sz w:val="28"/>
          <w:szCs w:val="28"/>
        </w:rPr>
        <w:t>Обеспечение деятельности Счётной палаты</w:t>
      </w:r>
    </w:p>
    <w:p w:rsidR="00087F78" w:rsidRPr="00F7211B" w:rsidRDefault="00087F78" w:rsidP="00087F78">
      <w:pPr>
        <w:pStyle w:val="af"/>
        <w:spacing w:before="0" w:beforeAutospacing="0" w:after="0" w:afterAutospacing="0"/>
        <w:ind w:firstLine="426"/>
        <w:jc w:val="both"/>
        <w:rPr>
          <w:rFonts w:ascii="Times New Roman" w:hAnsi="Times New Roman"/>
          <w:sz w:val="28"/>
          <w:szCs w:val="28"/>
        </w:rPr>
      </w:pPr>
      <w:r w:rsidRPr="00F7211B">
        <w:rPr>
          <w:rFonts w:ascii="Times New Roman" w:hAnsi="Times New Roman"/>
          <w:sz w:val="28"/>
          <w:szCs w:val="28"/>
        </w:rPr>
        <w:t>Численность работников Счётной палаты определена как 2,5 ед., фактическая численность с момента создания составляет 2 единицы. Остается вакантной 0,5 ставки служащего Счётной палаты.</w:t>
      </w:r>
    </w:p>
    <w:p w:rsidR="00087F78" w:rsidRPr="00F7211B" w:rsidRDefault="00087F78" w:rsidP="00087F78">
      <w:pPr>
        <w:pStyle w:val="af"/>
        <w:spacing w:before="0" w:beforeAutospacing="0" w:after="0" w:afterAutospacing="0"/>
        <w:ind w:firstLine="426"/>
        <w:jc w:val="both"/>
        <w:rPr>
          <w:rFonts w:ascii="Times New Roman" w:hAnsi="Times New Roman"/>
          <w:sz w:val="28"/>
          <w:szCs w:val="28"/>
        </w:rPr>
      </w:pPr>
      <w:r w:rsidRPr="00F7211B">
        <w:rPr>
          <w:rFonts w:ascii="Times New Roman" w:hAnsi="Times New Roman"/>
          <w:sz w:val="28"/>
          <w:szCs w:val="28"/>
        </w:rPr>
        <w:t>Сотрудники Счётной палаты имеют высшее профессиональное образование и значительный стаж работы. В отчетном периоде сотрудники Счётной палаты прошли повышение квалификации в дистанционном формате по программе "Государственный и муниципальный финансовый контроль в субъектах федерации".</w:t>
      </w:r>
    </w:p>
    <w:p w:rsidR="00087F78" w:rsidRPr="00F7211B" w:rsidRDefault="00087F78" w:rsidP="00F7211B">
      <w:pPr>
        <w:pStyle w:val="af"/>
        <w:spacing w:before="0" w:beforeAutospacing="0" w:after="0" w:afterAutospacing="0"/>
        <w:ind w:firstLine="426"/>
        <w:jc w:val="both"/>
        <w:rPr>
          <w:rFonts w:ascii="Times New Roman" w:hAnsi="Times New Roman"/>
          <w:sz w:val="28"/>
          <w:szCs w:val="28"/>
        </w:rPr>
      </w:pPr>
      <w:r w:rsidRPr="00F7211B">
        <w:rPr>
          <w:rFonts w:ascii="Times New Roman" w:hAnsi="Times New Roman"/>
          <w:sz w:val="28"/>
          <w:szCs w:val="28"/>
        </w:rPr>
        <w:t>Затраты на содержание Счётной палаты в 2022 году составили  1670,3 тыс. рублей, на 2023 год содержание запланировано в сумме 1846,7 тыс. рублей.</w:t>
      </w:r>
    </w:p>
    <w:p w:rsidR="00087F78" w:rsidRPr="00F7211B" w:rsidRDefault="00087F78" w:rsidP="00F7211B">
      <w:pPr>
        <w:jc w:val="center"/>
        <w:rPr>
          <w:rStyle w:val="af3"/>
          <w:szCs w:val="28"/>
        </w:rPr>
      </w:pPr>
      <w:r w:rsidRPr="00F7211B">
        <w:rPr>
          <w:rStyle w:val="af3"/>
          <w:szCs w:val="28"/>
        </w:rPr>
        <w:t>Информирование о деятельности Счётной палаты</w:t>
      </w:r>
    </w:p>
    <w:p w:rsidR="00087F78" w:rsidRPr="00F7211B" w:rsidRDefault="00087F78" w:rsidP="00F7211B">
      <w:pPr>
        <w:ind w:firstLine="709"/>
        <w:jc w:val="both"/>
        <w:rPr>
          <w:szCs w:val="28"/>
        </w:rPr>
      </w:pPr>
      <w:r w:rsidRPr="00F7211B">
        <w:rPr>
          <w:szCs w:val="28"/>
        </w:rPr>
        <w:t xml:space="preserve">В целях обеспечения принципа гласности  и открытости процедур контроля работа Счётной палаты освещалась в информационно-коммуникационной сети Интернет на сайте  Администрации Маловишерского муниципального района в разделе Счётная палата. Была продолжена работа по информационному и тематическому наполнению официального сайта. </w:t>
      </w:r>
    </w:p>
    <w:p w:rsidR="00087F78" w:rsidRPr="00F7211B" w:rsidRDefault="00087F78" w:rsidP="00F7211B">
      <w:pPr>
        <w:pStyle w:val="1"/>
        <w:ind w:firstLine="709"/>
        <w:jc w:val="both"/>
        <w:rPr>
          <w:b w:val="0"/>
          <w:szCs w:val="28"/>
        </w:rPr>
      </w:pPr>
      <w:r w:rsidRPr="00F7211B">
        <w:rPr>
          <w:b w:val="0"/>
          <w:szCs w:val="28"/>
        </w:rPr>
        <w:t>В связи с изменениями законодательства о доступе к информации о деятельности государственных органов и органов местного самоуправления создана страница ВКонтакте, где так же освещается деятельность Счётной палаты.</w:t>
      </w:r>
    </w:p>
    <w:p w:rsidR="00087F78" w:rsidRPr="00F7211B" w:rsidRDefault="00087F78" w:rsidP="00087F78">
      <w:pPr>
        <w:tabs>
          <w:tab w:val="left" w:pos="709"/>
        </w:tabs>
        <w:autoSpaceDE w:val="0"/>
        <w:autoSpaceDN w:val="0"/>
        <w:adjustRightInd w:val="0"/>
        <w:ind w:right="-2"/>
        <w:jc w:val="both"/>
        <w:outlineLvl w:val="0"/>
        <w:rPr>
          <w:szCs w:val="28"/>
        </w:rPr>
      </w:pPr>
      <w:r w:rsidRPr="00F7211B">
        <w:rPr>
          <w:szCs w:val="28"/>
        </w:rPr>
        <w:tab/>
        <w:t>В отчетном периоде, в целях выполнения задач информационно-аналитического обеспечения  деятельности внешнего финансового контроля контрольно-счетных органов Российской Федерации, Счётная палата принимала участие в размещении информации на Портале КСО, в разделе «Библиотека» имеются 11 документов Счётной палаты.</w:t>
      </w:r>
    </w:p>
    <w:p w:rsidR="00087F78" w:rsidRDefault="00087F78" w:rsidP="00087F78">
      <w:pPr>
        <w:tabs>
          <w:tab w:val="left" w:pos="709"/>
        </w:tabs>
        <w:autoSpaceDE w:val="0"/>
        <w:autoSpaceDN w:val="0"/>
        <w:adjustRightInd w:val="0"/>
        <w:ind w:right="-2"/>
        <w:jc w:val="both"/>
        <w:outlineLvl w:val="0"/>
        <w:rPr>
          <w:szCs w:val="28"/>
        </w:rPr>
      </w:pPr>
    </w:p>
    <w:p w:rsidR="00087F78" w:rsidRDefault="00087F78" w:rsidP="00087F78">
      <w:pPr>
        <w:tabs>
          <w:tab w:val="left" w:pos="709"/>
        </w:tabs>
        <w:autoSpaceDE w:val="0"/>
        <w:autoSpaceDN w:val="0"/>
        <w:adjustRightInd w:val="0"/>
        <w:ind w:right="-2"/>
        <w:jc w:val="center"/>
        <w:outlineLvl w:val="0"/>
        <w:rPr>
          <w:szCs w:val="28"/>
        </w:rPr>
      </w:pPr>
      <w:r>
        <w:rPr>
          <w:szCs w:val="28"/>
        </w:rPr>
        <w:t>__________________________________</w:t>
      </w:r>
    </w:p>
    <w:p w:rsidR="00087F78" w:rsidRDefault="00087F78" w:rsidP="00087F78">
      <w:pPr>
        <w:tabs>
          <w:tab w:val="left" w:pos="709"/>
        </w:tabs>
        <w:autoSpaceDE w:val="0"/>
        <w:autoSpaceDN w:val="0"/>
        <w:adjustRightInd w:val="0"/>
        <w:ind w:right="-2"/>
        <w:jc w:val="center"/>
        <w:outlineLvl w:val="0"/>
        <w:rPr>
          <w:szCs w:val="28"/>
        </w:rPr>
      </w:pPr>
    </w:p>
    <w:p w:rsidR="00087F78" w:rsidRDefault="00087F78" w:rsidP="00087F78">
      <w:pPr>
        <w:tabs>
          <w:tab w:val="left" w:pos="709"/>
        </w:tabs>
        <w:autoSpaceDE w:val="0"/>
        <w:autoSpaceDN w:val="0"/>
        <w:adjustRightInd w:val="0"/>
        <w:ind w:right="-2"/>
        <w:jc w:val="center"/>
        <w:outlineLvl w:val="0"/>
        <w:rPr>
          <w:szCs w:val="28"/>
        </w:rPr>
      </w:pPr>
    </w:p>
    <w:p w:rsidR="00087F78" w:rsidRDefault="00087F78" w:rsidP="00087F78">
      <w:pPr>
        <w:tabs>
          <w:tab w:val="left" w:pos="709"/>
        </w:tabs>
        <w:autoSpaceDE w:val="0"/>
        <w:autoSpaceDN w:val="0"/>
        <w:adjustRightInd w:val="0"/>
        <w:ind w:right="-2"/>
        <w:jc w:val="center"/>
        <w:outlineLvl w:val="0"/>
        <w:rPr>
          <w:szCs w:val="28"/>
        </w:rPr>
        <w:sectPr w:rsidR="00087F78" w:rsidSect="00974E38">
          <w:headerReference w:type="default" r:id="rId12"/>
          <w:pgSz w:w="11907" w:h="16840" w:code="9"/>
          <w:pgMar w:top="567" w:right="567" w:bottom="851" w:left="1701" w:header="567" w:footer="567" w:gutter="0"/>
          <w:pgNumType w:start="1"/>
          <w:cols w:space="708"/>
          <w:titlePg/>
          <w:docGrid w:linePitch="381"/>
        </w:sectPr>
      </w:pPr>
    </w:p>
    <w:tbl>
      <w:tblPr>
        <w:tblW w:w="0" w:type="auto"/>
        <w:tblLook w:val="04A0"/>
      </w:tblPr>
      <w:tblGrid>
        <w:gridCol w:w="222"/>
        <w:gridCol w:w="936"/>
        <w:gridCol w:w="4183"/>
        <w:gridCol w:w="222"/>
        <w:gridCol w:w="4586"/>
        <w:gridCol w:w="426"/>
        <w:gridCol w:w="532"/>
        <w:gridCol w:w="1358"/>
        <w:gridCol w:w="1499"/>
        <w:gridCol w:w="1452"/>
        <w:gridCol w:w="222"/>
      </w:tblGrid>
      <w:tr w:rsidR="00F7211B" w:rsidTr="00F7211B">
        <w:trPr>
          <w:trHeight w:hRule="exact" w:val="283"/>
        </w:trPr>
        <w:tc>
          <w:tcPr>
            <w:tcW w:w="10149" w:type="dxa"/>
            <w:gridSpan w:val="5"/>
            <w:vMerge w:val="restart"/>
            <w:shd w:val="clear" w:color="000000" w:fill="FFFFFF"/>
          </w:tcPr>
          <w:p w:rsidR="00F7211B" w:rsidRDefault="00F7211B" w:rsidP="004E7102"/>
        </w:tc>
        <w:tc>
          <w:tcPr>
            <w:tcW w:w="5267" w:type="dxa"/>
            <w:gridSpan w:val="5"/>
            <w:vMerge w:val="restart"/>
          </w:tcPr>
          <w:p w:rsidR="00F7211B" w:rsidRDefault="00F7211B" w:rsidP="00F7211B">
            <w:pPr>
              <w:rPr>
                <w:sz w:val="24"/>
              </w:rPr>
            </w:pPr>
            <w:r>
              <w:t xml:space="preserve">                 </w:t>
            </w:r>
            <w:r w:rsidRPr="00F7211B">
              <w:rPr>
                <w:sz w:val="24"/>
              </w:rPr>
              <w:t xml:space="preserve">Приложение №1 к </w:t>
            </w:r>
            <w:r>
              <w:rPr>
                <w:sz w:val="24"/>
              </w:rPr>
              <w:t xml:space="preserve"> </w:t>
            </w:r>
          </w:p>
          <w:p w:rsidR="00F7211B" w:rsidRDefault="00F7211B" w:rsidP="00F7211B">
            <w:pPr>
              <w:jc w:val="both"/>
            </w:pPr>
            <w:r w:rsidRPr="00F7211B">
              <w:rPr>
                <w:bCs/>
                <w:sz w:val="24"/>
              </w:rPr>
              <w:t>Ежегодному отчету о деятельности  Счётной палаты Маловишерского муниципального района Новгородской</w:t>
            </w:r>
            <w:r w:rsidRPr="00F7211B">
              <w:rPr>
                <w:bCs/>
              </w:rPr>
              <w:t xml:space="preserve"> </w:t>
            </w:r>
            <w:r w:rsidRPr="00F7211B">
              <w:rPr>
                <w:bCs/>
                <w:sz w:val="24"/>
              </w:rPr>
              <w:t>области,  результатах проведенных контрольных и экспертно- аналитических мероприятий в 2022 году</w:t>
            </w:r>
            <w:r w:rsidRPr="00F7211B">
              <w:rPr>
                <w:bCs/>
              </w:rPr>
              <w:t xml:space="preserve"> </w:t>
            </w:r>
          </w:p>
        </w:tc>
        <w:tc>
          <w:tcPr>
            <w:tcW w:w="222" w:type="dxa"/>
          </w:tcPr>
          <w:p w:rsidR="00F7211B" w:rsidRDefault="00F7211B" w:rsidP="004E7102"/>
        </w:tc>
      </w:tr>
      <w:tr w:rsidR="00F7211B" w:rsidTr="00F7211B">
        <w:trPr>
          <w:trHeight w:hRule="exact" w:val="1568"/>
        </w:trPr>
        <w:tc>
          <w:tcPr>
            <w:tcW w:w="10149" w:type="dxa"/>
            <w:gridSpan w:val="5"/>
            <w:vMerge/>
            <w:shd w:val="clear" w:color="000000" w:fill="FFFFFF"/>
          </w:tcPr>
          <w:p w:rsidR="00F7211B" w:rsidRDefault="00F7211B" w:rsidP="004E7102"/>
        </w:tc>
        <w:tc>
          <w:tcPr>
            <w:tcW w:w="5267" w:type="dxa"/>
            <w:gridSpan w:val="5"/>
            <w:vMerge/>
            <w:shd w:val="clear" w:color="000000" w:fill="FFFFFF"/>
          </w:tcPr>
          <w:p w:rsidR="00F7211B" w:rsidRPr="00F7211B" w:rsidRDefault="00F7211B" w:rsidP="00F7211B">
            <w:pPr>
              <w:pStyle w:val="af"/>
              <w:spacing w:before="0" w:beforeAutospacing="0" w:after="0" w:afterAutospacing="0"/>
              <w:jc w:val="both"/>
              <w:rPr>
                <w:rFonts w:ascii="Times New Roman" w:hAnsi="Times New Roman"/>
              </w:rPr>
            </w:pPr>
          </w:p>
        </w:tc>
        <w:tc>
          <w:tcPr>
            <w:tcW w:w="222" w:type="dxa"/>
          </w:tcPr>
          <w:p w:rsidR="00F7211B" w:rsidRDefault="00F7211B" w:rsidP="004E7102"/>
        </w:tc>
      </w:tr>
      <w:tr w:rsidR="00087F78" w:rsidTr="00F7211B">
        <w:trPr>
          <w:trHeight w:hRule="exact" w:val="141"/>
        </w:trPr>
        <w:tc>
          <w:tcPr>
            <w:tcW w:w="10149" w:type="dxa"/>
            <w:gridSpan w:val="5"/>
            <w:vMerge/>
            <w:shd w:val="clear" w:color="000000" w:fill="FFFFFF"/>
          </w:tcPr>
          <w:p w:rsidR="00087F78" w:rsidRDefault="00087F78" w:rsidP="004E7102"/>
        </w:tc>
        <w:tc>
          <w:tcPr>
            <w:tcW w:w="958" w:type="dxa"/>
            <w:gridSpan w:val="2"/>
          </w:tcPr>
          <w:p w:rsidR="00087F78" w:rsidRDefault="00087F78" w:rsidP="004E7102"/>
        </w:tc>
        <w:tc>
          <w:tcPr>
            <w:tcW w:w="1358" w:type="dxa"/>
          </w:tcPr>
          <w:p w:rsidR="00087F78" w:rsidRDefault="00087F78" w:rsidP="004E7102"/>
        </w:tc>
        <w:tc>
          <w:tcPr>
            <w:tcW w:w="1499" w:type="dxa"/>
          </w:tcPr>
          <w:p w:rsidR="00087F78" w:rsidRDefault="00087F78" w:rsidP="004E7102"/>
        </w:tc>
        <w:tc>
          <w:tcPr>
            <w:tcW w:w="1452" w:type="dxa"/>
          </w:tcPr>
          <w:p w:rsidR="00087F78" w:rsidRDefault="00087F78" w:rsidP="004E7102"/>
        </w:tc>
        <w:tc>
          <w:tcPr>
            <w:tcW w:w="222" w:type="dxa"/>
          </w:tcPr>
          <w:p w:rsidR="00087F78" w:rsidRDefault="00087F78" w:rsidP="004E7102"/>
        </w:tc>
      </w:tr>
      <w:tr w:rsidR="00087F78" w:rsidTr="00F7211B">
        <w:trPr>
          <w:trHeight w:hRule="exact" w:val="425"/>
        </w:trPr>
        <w:tc>
          <w:tcPr>
            <w:tcW w:w="222" w:type="dxa"/>
            <w:vMerge w:val="restart"/>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jc w:val="center"/>
              <w:rPr>
                <w:sz w:val="24"/>
              </w:rPr>
            </w:pPr>
            <w:r w:rsidRPr="00F7211B">
              <w:rPr>
                <w:b/>
                <w:color w:val="000000"/>
                <w:sz w:val="24"/>
              </w:rPr>
              <w:t>№</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jc w:val="center"/>
              <w:rPr>
                <w:sz w:val="24"/>
              </w:rPr>
            </w:pPr>
            <w:r w:rsidRPr="00F7211B">
              <w:rPr>
                <w:b/>
                <w:color w:val="000000"/>
                <w:sz w:val="24"/>
              </w:rPr>
              <w:t>Название</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jc w:val="center"/>
              <w:rPr>
                <w:sz w:val="24"/>
              </w:rPr>
            </w:pPr>
            <w:r w:rsidRPr="00F7211B">
              <w:rPr>
                <w:b/>
                <w:color w:val="000000"/>
                <w:sz w:val="24"/>
              </w:rPr>
              <w:t>Количество нарушений</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jc w:val="center"/>
              <w:rPr>
                <w:sz w:val="24"/>
              </w:rPr>
            </w:pPr>
            <w:r w:rsidRPr="00F7211B">
              <w:rPr>
                <w:b/>
                <w:color w:val="000000"/>
                <w:sz w:val="24"/>
              </w:rPr>
              <w:t>Сумма нарушений</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b/>
                <w:color w:val="000000"/>
                <w:sz w:val="24"/>
              </w:rPr>
              <w:t>1 1</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20</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4 306,6</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b/>
                <w:i/>
                <w:color w:val="000000"/>
                <w:sz w:val="24"/>
              </w:rPr>
              <w:t>1.1. Нарушения в ходе формирования бюджетов</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5</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i/>
                <w:color w:val="000000"/>
                <w:sz w:val="24"/>
              </w:rPr>
              <w:t>1.1.2 Нарушение порядка применения бюджетной классификации Российской Федерации</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3</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1.1.2</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Нарушение порядка применения бюджетной классификации Российской Федерации</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3</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i/>
                <w:color w:val="000000"/>
                <w:sz w:val="24"/>
              </w:rPr>
              <w:t>1.1.6 Нарушение порядка представления реестра расходных обязательств субъекта Российской Федерации (муниципального образования)</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1.1.6</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Нарушение порядка представления реестра расходных обязательств субъекта Российской Федерации (муниципального образования)</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i/>
                <w:color w:val="000000"/>
                <w:sz w:val="24"/>
              </w:rPr>
              <w:t>1.1.18 Нарушение порядка принятия решений о разработке государственных (муниципальных) программ, их формирования и оценка планируемой эффективности государственных (муниципальных) программ</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402"/>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1.1.18</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Нарушение порядка принятия решений о разработке государственных (муниципальных) программ, их формирования и оценка планируемой эффективности государственных (муниципальных) программ</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b/>
                <w:i/>
                <w:color w:val="000000"/>
                <w:sz w:val="24"/>
              </w:rPr>
              <w:t>1.2 Нарушения в ходе исполнения бюджетов</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15</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4 306,6</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i/>
                <w:color w:val="000000"/>
                <w:sz w:val="24"/>
              </w:rPr>
              <w:t>1.2.6 Нарушение порядка применения бюджетной классификации Российской Федерации</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3</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3 048,0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1.2.6</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Нарушение порядка применения бюджетной классификации Российской Федерации</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3</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3 048,0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i/>
                <w:color w:val="000000"/>
                <w:sz w:val="24"/>
              </w:rPr>
              <w:t>1.2.95 Нарушение порядка и условий оплаты труда работников государственных (муниципальных) бюджетных, автономных и казенных учреждений 3</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9</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89,3</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1.2.95</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Нарушение порядка и условий оплаты труда работников государственных (муниципальных) бюджетных, автономных и казенных учреждений 3</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9</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89,3</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i/>
                <w:color w:val="000000"/>
                <w:sz w:val="24"/>
              </w:rPr>
              <w:t>1.2.62 Расходование средств межбюджетных субсидий не в соответствии с целями их предоставления</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402"/>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1.2.94</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0,0</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i/>
                <w:color w:val="000000"/>
                <w:sz w:val="24"/>
              </w:rPr>
              <w:t>1.2.110 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1 169,3</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1.2.110</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1 169,3</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b/>
                <w:color w:val="000000"/>
                <w:sz w:val="24"/>
              </w:rPr>
              <w:t>4. Нарушения при осуществлении государственных (муниципальных) закупок и закупок отдельными видами юридических лиц</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5,9</w:t>
            </w:r>
          </w:p>
        </w:tc>
        <w:tc>
          <w:tcPr>
            <w:tcW w:w="222" w:type="dxa"/>
          </w:tcPr>
          <w:p w:rsidR="00087F78" w:rsidRDefault="00087F78" w:rsidP="004E7102"/>
        </w:tc>
      </w:tr>
      <w:tr w:rsidR="00087F78" w:rsidTr="00F7211B">
        <w:trPr>
          <w:trHeight w:hRule="exact" w:val="47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b/>
                <w:i/>
                <w:color w:val="000000"/>
                <w:sz w:val="24"/>
              </w:rPr>
              <w:t>4.6 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5,9</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224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5,9</w:t>
            </w:r>
          </w:p>
        </w:tc>
        <w:tc>
          <w:tcPr>
            <w:tcW w:w="222" w:type="dxa"/>
          </w:tcPr>
          <w:p w:rsidR="00087F78" w:rsidRDefault="00087F78" w:rsidP="004E7102"/>
        </w:tc>
      </w:tr>
      <w:tr w:rsidR="00087F78" w:rsidTr="00F7211B">
        <w:trPr>
          <w:trHeight w:hRule="exact" w:val="402"/>
        </w:trPr>
        <w:tc>
          <w:tcPr>
            <w:tcW w:w="222" w:type="dxa"/>
            <w:vMerge/>
            <w:shd w:val="clear" w:color="000000" w:fill="FFFFFF"/>
          </w:tcPr>
          <w:p w:rsidR="00087F78" w:rsidRDefault="00087F78" w:rsidP="004E7102"/>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4.6</w:t>
            </w:r>
          </w:p>
        </w:tc>
        <w:tc>
          <w:tcPr>
            <w:tcW w:w="1130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5,9</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10353" w:type="dxa"/>
            <w:gridSpan w:val="5"/>
            <w:shd w:val="clear" w:color="000000" w:fill="FFFFFF"/>
          </w:tcPr>
          <w:p w:rsidR="00087F78" w:rsidRPr="00F7211B" w:rsidRDefault="00087F78" w:rsidP="00F7211B">
            <w:pPr>
              <w:rPr>
                <w:sz w:val="24"/>
              </w:rPr>
            </w:pPr>
          </w:p>
        </w:tc>
        <w:tc>
          <w:tcPr>
            <w:tcW w:w="532" w:type="dxa"/>
          </w:tcPr>
          <w:p w:rsidR="00087F78" w:rsidRPr="00F7211B" w:rsidRDefault="00087F78" w:rsidP="00F7211B">
            <w:pPr>
              <w:rPr>
                <w:sz w:val="24"/>
              </w:rPr>
            </w:pPr>
          </w:p>
        </w:tc>
        <w:tc>
          <w:tcPr>
            <w:tcW w:w="1358" w:type="dxa"/>
            <w:shd w:val="clear" w:color="000000" w:fill="FFFFFF"/>
            <w:vAlign w:val="center"/>
          </w:tcPr>
          <w:p w:rsidR="00087F78" w:rsidRPr="00F7211B" w:rsidRDefault="00087F78" w:rsidP="00F7211B">
            <w:pPr>
              <w:jc w:val="right"/>
              <w:rPr>
                <w:sz w:val="24"/>
              </w:rPr>
            </w:pPr>
            <w:r w:rsidRPr="00F7211B">
              <w:rPr>
                <w:b/>
                <w:color w:val="000000"/>
                <w:sz w:val="24"/>
              </w:rPr>
              <w:t>Всего:</w:t>
            </w:r>
          </w:p>
        </w:tc>
        <w:tc>
          <w:tcPr>
            <w:tcW w:w="14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22</w:t>
            </w:r>
          </w:p>
        </w:tc>
        <w:tc>
          <w:tcPr>
            <w:tcW w:w="14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87F78" w:rsidRPr="00F7211B" w:rsidRDefault="00087F78" w:rsidP="00F7211B">
            <w:pPr>
              <w:rPr>
                <w:sz w:val="24"/>
              </w:rPr>
            </w:pPr>
            <w:r w:rsidRPr="00F7211B">
              <w:rPr>
                <w:color w:val="000000"/>
                <w:sz w:val="24"/>
              </w:rPr>
              <w:t>4 312,5</w:t>
            </w:r>
          </w:p>
        </w:tc>
        <w:tc>
          <w:tcPr>
            <w:tcW w:w="222" w:type="dxa"/>
          </w:tcPr>
          <w:p w:rsidR="00087F78" w:rsidRDefault="00087F78" w:rsidP="004E7102"/>
        </w:tc>
      </w:tr>
      <w:tr w:rsidR="00087F78" w:rsidTr="00F7211B">
        <w:trPr>
          <w:trHeight w:hRule="exact" w:val="283"/>
        </w:trPr>
        <w:tc>
          <w:tcPr>
            <w:tcW w:w="222" w:type="dxa"/>
            <w:vMerge/>
            <w:shd w:val="clear" w:color="000000" w:fill="FFFFFF"/>
          </w:tcPr>
          <w:p w:rsidR="00087F78" w:rsidRDefault="00087F78" w:rsidP="004E7102"/>
        </w:tc>
        <w:tc>
          <w:tcPr>
            <w:tcW w:w="5119" w:type="dxa"/>
            <w:gridSpan w:val="2"/>
            <w:shd w:val="clear" w:color="000000" w:fill="FFFFFF"/>
          </w:tcPr>
          <w:p w:rsidR="00087F78" w:rsidRPr="00F7211B" w:rsidRDefault="00087F78" w:rsidP="00F7211B">
            <w:pPr>
              <w:jc w:val="right"/>
              <w:rPr>
                <w:sz w:val="24"/>
              </w:rPr>
            </w:pPr>
            <w:r w:rsidRPr="00F7211B">
              <w:rPr>
                <w:color w:val="000000"/>
                <w:sz w:val="24"/>
              </w:rPr>
              <w:t>Председатель</w:t>
            </w:r>
          </w:p>
        </w:tc>
        <w:tc>
          <w:tcPr>
            <w:tcW w:w="222" w:type="dxa"/>
            <w:vMerge w:val="restart"/>
            <w:shd w:val="clear" w:color="000000" w:fill="FFFFFF"/>
          </w:tcPr>
          <w:p w:rsidR="00087F78" w:rsidRPr="00F7211B" w:rsidRDefault="00087F78" w:rsidP="00F7211B">
            <w:pPr>
              <w:rPr>
                <w:sz w:val="24"/>
              </w:rPr>
            </w:pPr>
          </w:p>
        </w:tc>
        <w:tc>
          <w:tcPr>
            <w:tcW w:w="9853" w:type="dxa"/>
            <w:gridSpan w:val="6"/>
            <w:shd w:val="clear" w:color="000000" w:fill="FFFFFF"/>
          </w:tcPr>
          <w:p w:rsidR="00087F78" w:rsidRPr="00F7211B" w:rsidRDefault="00087F78" w:rsidP="00F7211B">
            <w:pPr>
              <w:rPr>
                <w:sz w:val="24"/>
              </w:rPr>
            </w:pPr>
            <w:r w:rsidRPr="00F7211B">
              <w:rPr>
                <w:color w:val="000000"/>
                <w:sz w:val="24"/>
              </w:rPr>
              <w:t>Афанасьева И.И.</w:t>
            </w:r>
          </w:p>
        </w:tc>
        <w:tc>
          <w:tcPr>
            <w:tcW w:w="222" w:type="dxa"/>
          </w:tcPr>
          <w:p w:rsidR="00087F78" w:rsidRDefault="00087F78" w:rsidP="004E7102"/>
        </w:tc>
      </w:tr>
      <w:tr w:rsidR="00087F78" w:rsidTr="00F7211B">
        <w:trPr>
          <w:trHeight w:hRule="exact" w:val="147"/>
        </w:trPr>
        <w:tc>
          <w:tcPr>
            <w:tcW w:w="222" w:type="dxa"/>
            <w:vMerge/>
            <w:shd w:val="clear" w:color="000000" w:fill="FFFFFF"/>
          </w:tcPr>
          <w:p w:rsidR="00087F78" w:rsidRDefault="00087F78" w:rsidP="004E7102"/>
        </w:tc>
        <w:tc>
          <w:tcPr>
            <w:tcW w:w="5119" w:type="dxa"/>
            <w:gridSpan w:val="2"/>
            <w:shd w:val="clear" w:color="000000" w:fill="FFFFFF"/>
          </w:tcPr>
          <w:p w:rsidR="00087F78" w:rsidRDefault="00087F78" w:rsidP="004E7102"/>
        </w:tc>
        <w:tc>
          <w:tcPr>
            <w:tcW w:w="222" w:type="dxa"/>
            <w:vMerge/>
            <w:shd w:val="clear" w:color="000000" w:fill="FFFFFF"/>
          </w:tcPr>
          <w:p w:rsidR="00087F78" w:rsidRDefault="00087F78" w:rsidP="004E7102"/>
        </w:tc>
        <w:tc>
          <w:tcPr>
            <w:tcW w:w="5012" w:type="dxa"/>
            <w:gridSpan w:val="2"/>
            <w:shd w:val="clear" w:color="000000" w:fill="FFFFFF"/>
          </w:tcPr>
          <w:p w:rsidR="00087F78" w:rsidRDefault="00087F78" w:rsidP="004E7102"/>
        </w:tc>
        <w:tc>
          <w:tcPr>
            <w:tcW w:w="532" w:type="dxa"/>
          </w:tcPr>
          <w:p w:rsidR="00087F78" w:rsidRDefault="00087F78" w:rsidP="004E7102"/>
        </w:tc>
        <w:tc>
          <w:tcPr>
            <w:tcW w:w="1358" w:type="dxa"/>
          </w:tcPr>
          <w:p w:rsidR="00087F78" w:rsidRDefault="00087F78" w:rsidP="004E7102"/>
        </w:tc>
        <w:tc>
          <w:tcPr>
            <w:tcW w:w="1499" w:type="dxa"/>
          </w:tcPr>
          <w:p w:rsidR="00087F78" w:rsidRDefault="00087F78" w:rsidP="004E7102"/>
        </w:tc>
        <w:tc>
          <w:tcPr>
            <w:tcW w:w="1452" w:type="dxa"/>
          </w:tcPr>
          <w:p w:rsidR="00087F78" w:rsidRDefault="00087F78" w:rsidP="004E7102"/>
        </w:tc>
        <w:tc>
          <w:tcPr>
            <w:tcW w:w="222" w:type="dxa"/>
          </w:tcPr>
          <w:p w:rsidR="00087F78" w:rsidRDefault="00087F78" w:rsidP="004E7102"/>
        </w:tc>
      </w:tr>
    </w:tbl>
    <w:p w:rsidR="00087F78" w:rsidRDefault="00087F78" w:rsidP="00087F78">
      <w:pPr>
        <w:tabs>
          <w:tab w:val="left" w:pos="709"/>
        </w:tabs>
        <w:autoSpaceDE w:val="0"/>
        <w:autoSpaceDN w:val="0"/>
        <w:adjustRightInd w:val="0"/>
        <w:ind w:right="-2"/>
        <w:jc w:val="center"/>
        <w:outlineLvl w:val="0"/>
        <w:rPr>
          <w:szCs w:val="28"/>
        </w:rPr>
      </w:pPr>
    </w:p>
    <w:p w:rsidR="00A67FE0" w:rsidRPr="00FF4FAA" w:rsidRDefault="003F4F2A" w:rsidP="000E5B71">
      <w:pPr>
        <w:spacing w:line="240" w:lineRule="exact"/>
        <w:rPr>
          <w:szCs w:val="28"/>
        </w:rPr>
      </w:pPr>
      <w:r w:rsidRPr="00FF4FAA">
        <w:rPr>
          <w:szCs w:val="28"/>
        </w:rPr>
        <w:t xml:space="preserve"> </w:t>
      </w:r>
    </w:p>
    <w:sectPr w:rsidR="00A67FE0" w:rsidRPr="00FF4FAA" w:rsidSect="00087F78">
      <w:pgSz w:w="16840" w:h="11907" w:orient="landscape" w:code="9"/>
      <w:pgMar w:top="1701" w:right="567" w:bottom="567" w:left="85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E9F" w:rsidRDefault="002C4E9F">
      <w:r>
        <w:separator/>
      </w:r>
    </w:p>
  </w:endnote>
  <w:endnote w:type="continuationSeparator" w:id="1">
    <w:p w:rsidR="002C4E9F" w:rsidRDefault="002C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E9F" w:rsidRDefault="002C4E9F">
      <w:r>
        <w:separator/>
      </w:r>
    </w:p>
  </w:footnote>
  <w:footnote w:type="continuationSeparator" w:id="1">
    <w:p w:rsidR="002C4E9F" w:rsidRDefault="002C4E9F">
      <w:r>
        <w:continuationSeparator/>
      </w:r>
    </w:p>
  </w:footnote>
  <w:footnote w:id="2">
    <w:p w:rsidR="00087F78" w:rsidRPr="00576B48" w:rsidRDefault="00087F78" w:rsidP="00087F78">
      <w:pPr>
        <w:pStyle w:val="1"/>
      </w:pPr>
      <w:r w:rsidRPr="0068329A">
        <w:rPr>
          <w:rStyle w:val="afc"/>
          <w:sz w:val="16"/>
          <w:szCs w:val="16"/>
        </w:rPr>
        <w:footnoteRef/>
      </w:r>
      <w:r w:rsidRPr="0068329A">
        <w:rPr>
          <w:sz w:val="16"/>
          <w:szCs w:val="16"/>
        </w:rPr>
        <w:t xml:space="preserve"> </w:t>
      </w:r>
      <w:r w:rsidRPr="00C65A79">
        <w:rPr>
          <w:b w:val="0"/>
          <w:sz w:val="20"/>
        </w:rPr>
        <w:t>Приложение №28 к "СГА 101. Стандарт внешнего государственного аудита (контроля). Общие правила проведения контрольного мероприятия" (далее - Классификатор</w:t>
      </w:r>
      <w:r w:rsidRPr="00576B48">
        <w:rPr>
          <w:b w:val="0"/>
          <w:sz w:val="20"/>
        </w:rPr>
        <w:t>)</w:t>
      </w:r>
      <w:r>
        <w:rPr>
          <w:b w:val="0"/>
          <w:sz w:val="20"/>
        </w:rPr>
        <w:t>.</w:t>
      </w:r>
    </w:p>
    <w:p w:rsidR="00087F78" w:rsidRPr="0068329A" w:rsidRDefault="00087F78" w:rsidP="00087F78">
      <w:pPr>
        <w:pStyle w:val="aff0"/>
        <w:rPr>
          <w:sz w:val="16"/>
          <w:szCs w:val="16"/>
        </w:rPr>
      </w:pPr>
    </w:p>
  </w:footnote>
  <w:footnote w:id="3">
    <w:p w:rsidR="00087F78" w:rsidRPr="00C70393" w:rsidRDefault="00087F78" w:rsidP="00087F78">
      <w:pPr>
        <w:pStyle w:val="aff0"/>
        <w:ind w:firstLine="426"/>
      </w:pPr>
      <w:r>
        <w:rPr>
          <w:rStyle w:val="afc"/>
        </w:rPr>
        <w:footnoteRef/>
      </w:r>
      <w:r>
        <w:t xml:space="preserve"> </w:t>
      </w:r>
      <w:r w:rsidRPr="00C70393">
        <w:t>Приложение № 2 к государственной программе Новгородской области "Комплексное развитие сельских территорий Новгородской области до 2025 года"</w:t>
      </w:r>
    </w:p>
  </w:footnote>
  <w:footnote w:id="4">
    <w:p w:rsidR="00087F78" w:rsidRPr="00EE2A95" w:rsidRDefault="00087F78" w:rsidP="00087F78">
      <w:pPr>
        <w:pStyle w:val="aff0"/>
        <w:ind w:firstLine="426"/>
      </w:pPr>
      <w:r w:rsidRPr="00EE2A95">
        <w:rPr>
          <w:rStyle w:val="afc"/>
        </w:rPr>
        <w:footnoteRef/>
      </w:r>
      <w:r w:rsidRPr="00EE2A95">
        <w:t xml:space="preserve"> Приказ Минфина России от 29.11.2017 </w:t>
      </w:r>
      <w:r>
        <w:t>№</w:t>
      </w:r>
      <w:r w:rsidRPr="00EE2A95">
        <w:t xml:space="preserve">209н  "Об утверждении Порядка применения </w:t>
      </w:r>
      <w:r>
        <w:t>к</w:t>
      </w:r>
      <w:r w:rsidRPr="00EE2A95">
        <w:t>лассификации операций сектора государственного управления"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2159"/>
      <w:docPartObj>
        <w:docPartGallery w:val="Page Numbers (Top of Page)"/>
        <w:docPartUnique/>
      </w:docPartObj>
    </w:sdtPr>
    <w:sdtContent>
      <w:p w:rsidR="008350E8" w:rsidRDefault="00D87C71">
        <w:pPr>
          <w:pStyle w:val="a5"/>
          <w:jc w:val="center"/>
        </w:pPr>
        <w:fldSimple w:instr=" PAGE   \* MERGEFORMAT ">
          <w:r w:rsidR="007824A5">
            <w:rPr>
              <w:noProof/>
            </w:rPr>
            <w:t>8</w:t>
          </w:r>
        </w:fldSimple>
      </w:p>
    </w:sdtContent>
  </w:sdt>
  <w:p w:rsidR="008350E8" w:rsidRDefault="008350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5">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71760F6"/>
    <w:multiLevelType w:val="multilevel"/>
    <w:tmpl w:val="8F841F86"/>
    <w:lvl w:ilvl="0">
      <w:start w:val="1"/>
      <w:numFmt w:val="decimal"/>
      <w:lvlText w:val="%1."/>
      <w:lvlJc w:val="left"/>
      <w:pPr>
        <w:ind w:left="885" w:hanging="435"/>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4">
    <w:nsid w:val="2B756A18"/>
    <w:multiLevelType w:val="multilevel"/>
    <w:tmpl w:val="F138755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2FC31695"/>
    <w:multiLevelType w:val="hybridMultilevel"/>
    <w:tmpl w:val="8040B34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331036D2"/>
    <w:multiLevelType w:val="multilevel"/>
    <w:tmpl w:val="9FAAB05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47F1A5B"/>
    <w:multiLevelType w:val="multilevel"/>
    <w:tmpl w:val="B6E0504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88C1C33"/>
    <w:multiLevelType w:val="hybridMultilevel"/>
    <w:tmpl w:val="61CC4208"/>
    <w:lvl w:ilvl="0" w:tplc="DBC00F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51C05C2"/>
    <w:multiLevelType w:val="multilevel"/>
    <w:tmpl w:val="52308BBE"/>
    <w:lvl w:ilvl="0">
      <w:start w:val="1"/>
      <w:numFmt w:val="decimal"/>
      <w:lvlText w:val="%1."/>
      <w:lvlJc w:val="left"/>
      <w:pPr>
        <w:ind w:left="360" w:hanging="360"/>
      </w:pPr>
      <w:rPr>
        <w:rFonts w:ascii="Times New Roman" w:eastAsia="Calibri" w:hAnsi="Times New Roman" w:cs="Times New Roman"/>
        <w:b/>
        <w:sz w:val="28"/>
        <w:szCs w:val="28"/>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ascii="Times New Roman" w:hAnsi="Times New Roman" w:cs="Times New Roman" w:hint="default"/>
        <w:b w:val="0"/>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23">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52B9450E"/>
    <w:multiLevelType w:val="hybridMultilevel"/>
    <w:tmpl w:val="47C49678"/>
    <w:lvl w:ilvl="0" w:tplc="8DB626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8">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C13D8A"/>
    <w:multiLevelType w:val="hybridMultilevel"/>
    <w:tmpl w:val="3774ADE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3">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0"/>
  </w:num>
  <w:num w:numId="2">
    <w:abstractNumId w:val="41"/>
  </w:num>
  <w:num w:numId="3">
    <w:abstractNumId w:val="33"/>
  </w:num>
  <w:num w:numId="4">
    <w:abstractNumId w:val="40"/>
  </w:num>
  <w:num w:numId="5">
    <w:abstractNumId w:val="23"/>
  </w:num>
  <w:num w:numId="6">
    <w:abstractNumId w:val="37"/>
  </w:num>
  <w:num w:numId="7">
    <w:abstractNumId w:val="44"/>
  </w:num>
  <w:num w:numId="8">
    <w:abstractNumId w:val="27"/>
  </w:num>
  <w:num w:numId="9">
    <w:abstractNumId w:val="18"/>
  </w:num>
  <w:num w:numId="10">
    <w:abstractNumId w:val="39"/>
  </w:num>
  <w:num w:numId="11">
    <w:abstractNumId w:val="9"/>
  </w:num>
  <w:num w:numId="12">
    <w:abstractNumId w:val="11"/>
  </w:num>
  <w:num w:numId="13">
    <w:abstractNumId w:val="36"/>
  </w:num>
  <w:num w:numId="14">
    <w:abstractNumId w:val="4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42"/>
  </w:num>
  <w:num w:numId="19">
    <w:abstractNumId w:val="3"/>
  </w:num>
  <w:num w:numId="20">
    <w:abstractNumId w:val="7"/>
  </w:num>
  <w:num w:numId="21">
    <w:abstractNumId w:val="0"/>
  </w:num>
  <w:num w:numId="22">
    <w:abstractNumId w:val="2"/>
  </w:num>
  <w:num w:numId="23">
    <w:abstractNumId w:val="28"/>
  </w:num>
  <w:num w:numId="24">
    <w:abstractNumId w:val="5"/>
  </w:num>
  <w:num w:numId="25">
    <w:abstractNumId w:val="30"/>
  </w:num>
  <w:num w:numId="26">
    <w:abstractNumId w:val="38"/>
  </w:num>
  <w:num w:numId="27">
    <w:abstractNumId w:val="12"/>
  </w:num>
  <w:num w:numId="28">
    <w:abstractNumId w:val="6"/>
  </w:num>
  <w:num w:numId="29">
    <w:abstractNumId w:val="31"/>
  </w:num>
  <w:num w:numId="30">
    <w:abstractNumId w:val="29"/>
  </w:num>
  <w:num w:numId="31">
    <w:abstractNumId w:val="24"/>
  </w:num>
  <w:num w:numId="32">
    <w:abstractNumId w:val="35"/>
  </w:num>
  <w:num w:numId="33">
    <w:abstractNumId w:val="25"/>
  </w:num>
  <w:num w:numId="34">
    <w:abstractNumId w:val="8"/>
  </w:num>
  <w:num w:numId="35">
    <w:abstractNumId w:val="20"/>
  </w:num>
  <w:num w:numId="36">
    <w:abstractNumId w:val="34"/>
  </w:num>
  <w:num w:numId="37">
    <w:abstractNumId w:val="4"/>
  </w:num>
  <w:num w:numId="38">
    <w:abstractNumId w:val="14"/>
  </w:num>
  <w:num w:numId="39">
    <w:abstractNumId w:val="16"/>
  </w:num>
  <w:num w:numId="40">
    <w:abstractNumId w:val="17"/>
  </w:num>
  <w:num w:numId="41">
    <w:abstractNumId w:val="26"/>
  </w:num>
  <w:num w:numId="42">
    <w:abstractNumId w:val="21"/>
  </w:num>
  <w:num w:numId="43">
    <w:abstractNumId w:val="13"/>
  </w:num>
  <w:num w:numId="44">
    <w:abstractNumId w:val="32"/>
  </w:num>
  <w:num w:numId="45">
    <w:abstractNumId w:val="19"/>
  </w:num>
  <w:num w:numId="46">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hyphenationZone w:val="357"/>
  <w:drawingGridHorizontalSpacing w:val="140"/>
  <w:drawingGridVerticalSpacing w:val="381"/>
  <w:displayHorizontalDrawingGridEvery w:val="0"/>
  <w:noPunctuationKerning/>
  <w:characterSpacingControl w:val="doNotCompress"/>
  <w:hdrShapeDefaults>
    <o:shapedefaults v:ext="edit" spidmax="207874"/>
  </w:hdrShapeDefaults>
  <w:footnotePr>
    <w:footnote w:id="0"/>
    <w:footnote w:id="1"/>
  </w:footnotePr>
  <w:endnotePr>
    <w:endnote w:id="0"/>
    <w:endnote w:id="1"/>
  </w:endnotePr>
  <w:compat/>
  <w:rsids>
    <w:rsidRoot w:val="00C41242"/>
    <w:rsid w:val="000007ED"/>
    <w:rsid w:val="00000FD2"/>
    <w:rsid w:val="00001178"/>
    <w:rsid w:val="00001776"/>
    <w:rsid w:val="0000183F"/>
    <w:rsid w:val="00001D3F"/>
    <w:rsid w:val="00001E36"/>
    <w:rsid w:val="000028E4"/>
    <w:rsid w:val="00003301"/>
    <w:rsid w:val="00003F6D"/>
    <w:rsid w:val="00004375"/>
    <w:rsid w:val="000049BE"/>
    <w:rsid w:val="000071B6"/>
    <w:rsid w:val="000076BF"/>
    <w:rsid w:val="00007796"/>
    <w:rsid w:val="00011258"/>
    <w:rsid w:val="00011FEB"/>
    <w:rsid w:val="0001202C"/>
    <w:rsid w:val="0001223F"/>
    <w:rsid w:val="00013305"/>
    <w:rsid w:val="00013611"/>
    <w:rsid w:val="00013CEB"/>
    <w:rsid w:val="000158CE"/>
    <w:rsid w:val="00015A0E"/>
    <w:rsid w:val="00016BE8"/>
    <w:rsid w:val="00017864"/>
    <w:rsid w:val="00020A92"/>
    <w:rsid w:val="000218E3"/>
    <w:rsid w:val="0002200F"/>
    <w:rsid w:val="00022625"/>
    <w:rsid w:val="00022DD0"/>
    <w:rsid w:val="00023045"/>
    <w:rsid w:val="00024274"/>
    <w:rsid w:val="00024A40"/>
    <w:rsid w:val="00024E19"/>
    <w:rsid w:val="00025430"/>
    <w:rsid w:val="00025655"/>
    <w:rsid w:val="00026EDB"/>
    <w:rsid w:val="0002702A"/>
    <w:rsid w:val="000272C2"/>
    <w:rsid w:val="00027910"/>
    <w:rsid w:val="00027A41"/>
    <w:rsid w:val="00030EF4"/>
    <w:rsid w:val="00030F7A"/>
    <w:rsid w:val="00031240"/>
    <w:rsid w:val="000312F8"/>
    <w:rsid w:val="00031592"/>
    <w:rsid w:val="00032544"/>
    <w:rsid w:val="00032EA4"/>
    <w:rsid w:val="00033DC0"/>
    <w:rsid w:val="0003424C"/>
    <w:rsid w:val="00034E8C"/>
    <w:rsid w:val="00035DD9"/>
    <w:rsid w:val="000366D3"/>
    <w:rsid w:val="0003781D"/>
    <w:rsid w:val="000402C1"/>
    <w:rsid w:val="00040421"/>
    <w:rsid w:val="00040DA9"/>
    <w:rsid w:val="00041400"/>
    <w:rsid w:val="000427BB"/>
    <w:rsid w:val="00042C5B"/>
    <w:rsid w:val="00044600"/>
    <w:rsid w:val="00045922"/>
    <w:rsid w:val="000479B4"/>
    <w:rsid w:val="0005067E"/>
    <w:rsid w:val="000510F7"/>
    <w:rsid w:val="000511D5"/>
    <w:rsid w:val="000516F9"/>
    <w:rsid w:val="0005176B"/>
    <w:rsid w:val="00051B55"/>
    <w:rsid w:val="00052441"/>
    <w:rsid w:val="00053BED"/>
    <w:rsid w:val="00055C2E"/>
    <w:rsid w:val="00055E4F"/>
    <w:rsid w:val="000566DB"/>
    <w:rsid w:val="000611CE"/>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5BE6"/>
    <w:rsid w:val="000866FC"/>
    <w:rsid w:val="00087740"/>
    <w:rsid w:val="00087F78"/>
    <w:rsid w:val="000911A7"/>
    <w:rsid w:val="00092E28"/>
    <w:rsid w:val="00093892"/>
    <w:rsid w:val="00094016"/>
    <w:rsid w:val="000950F4"/>
    <w:rsid w:val="0009630E"/>
    <w:rsid w:val="000963AB"/>
    <w:rsid w:val="000968F4"/>
    <w:rsid w:val="000A2AAA"/>
    <w:rsid w:val="000A2E90"/>
    <w:rsid w:val="000A39D0"/>
    <w:rsid w:val="000A5674"/>
    <w:rsid w:val="000A611C"/>
    <w:rsid w:val="000A6170"/>
    <w:rsid w:val="000A699C"/>
    <w:rsid w:val="000B103F"/>
    <w:rsid w:val="000B16C3"/>
    <w:rsid w:val="000B2D07"/>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2CA5"/>
    <w:rsid w:val="000E322D"/>
    <w:rsid w:val="000E52E7"/>
    <w:rsid w:val="000E548B"/>
    <w:rsid w:val="000E5B4E"/>
    <w:rsid w:val="000E5B71"/>
    <w:rsid w:val="000E71B3"/>
    <w:rsid w:val="000E71BD"/>
    <w:rsid w:val="000E724E"/>
    <w:rsid w:val="000E73AB"/>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0CB1"/>
    <w:rsid w:val="00132299"/>
    <w:rsid w:val="00132834"/>
    <w:rsid w:val="001330C1"/>
    <w:rsid w:val="00133D6C"/>
    <w:rsid w:val="00134459"/>
    <w:rsid w:val="00134DFB"/>
    <w:rsid w:val="00134E27"/>
    <w:rsid w:val="00134FAD"/>
    <w:rsid w:val="001358D7"/>
    <w:rsid w:val="00136EC6"/>
    <w:rsid w:val="00137B71"/>
    <w:rsid w:val="001400ED"/>
    <w:rsid w:val="001403DF"/>
    <w:rsid w:val="00142C22"/>
    <w:rsid w:val="00142D00"/>
    <w:rsid w:val="00142FA0"/>
    <w:rsid w:val="0014387C"/>
    <w:rsid w:val="00143D24"/>
    <w:rsid w:val="0014429D"/>
    <w:rsid w:val="00146177"/>
    <w:rsid w:val="0015065B"/>
    <w:rsid w:val="00151FDE"/>
    <w:rsid w:val="00154D54"/>
    <w:rsid w:val="00154FB2"/>
    <w:rsid w:val="0015522C"/>
    <w:rsid w:val="00155545"/>
    <w:rsid w:val="00162884"/>
    <w:rsid w:val="00163037"/>
    <w:rsid w:val="00164061"/>
    <w:rsid w:val="00165121"/>
    <w:rsid w:val="0016591B"/>
    <w:rsid w:val="001662BB"/>
    <w:rsid w:val="00166691"/>
    <w:rsid w:val="00166A29"/>
    <w:rsid w:val="0016737F"/>
    <w:rsid w:val="00170BEF"/>
    <w:rsid w:val="001711DD"/>
    <w:rsid w:val="0017121B"/>
    <w:rsid w:val="001719A8"/>
    <w:rsid w:val="00172A0C"/>
    <w:rsid w:val="0017357F"/>
    <w:rsid w:val="00174CA0"/>
    <w:rsid w:val="00176697"/>
    <w:rsid w:val="00176902"/>
    <w:rsid w:val="00176E5D"/>
    <w:rsid w:val="0017721F"/>
    <w:rsid w:val="00177662"/>
    <w:rsid w:val="00180440"/>
    <w:rsid w:val="00181FA2"/>
    <w:rsid w:val="00183059"/>
    <w:rsid w:val="001855EA"/>
    <w:rsid w:val="00187340"/>
    <w:rsid w:val="001910B5"/>
    <w:rsid w:val="0019300C"/>
    <w:rsid w:val="00195766"/>
    <w:rsid w:val="001960BA"/>
    <w:rsid w:val="00196247"/>
    <w:rsid w:val="0019640A"/>
    <w:rsid w:val="00196543"/>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0DB"/>
    <w:rsid w:val="001B423C"/>
    <w:rsid w:val="001B4F61"/>
    <w:rsid w:val="001B504C"/>
    <w:rsid w:val="001B579F"/>
    <w:rsid w:val="001B5AB5"/>
    <w:rsid w:val="001B5F8F"/>
    <w:rsid w:val="001B60DE"/>
    <w:rsid w:val="001B6280"/>
    <w:rsid w:val="001B6D26"/>
    <w:rsid w:val="001B7F50"/>
    <w:rsid w:val="001C03E6"/>
    <w:rsid w:val="001C0A6A"/>
    <w:rsid w:val="001C1F12"/>
    <w:rsid w:val="001C3BCE"/>
    <w:rsid w:val="001C5E1D"/>
    <w:rsid w:val="001C6DED"/>
    <w:rsid w:val="001C7C08"/>
    <w:rsid w:val="001D09E6"/>
    <w:rsid w:val="001D101C"/>
    <w:rsid w:val="001D113C"/>
    <w:rsid w:val="001D15C4"/>
    <w:rsid w:val="001D253A"/>
    <w:rsid w:val="001D2846"/>
    <w:rsid w:val="001D29D0"/>
    <w:rsid w:val="001D3E5E"/>
    <w:rsid w:val="001D3EF3"/>
    <w:rsid w:val="001D402E"/>
    <w:rsid w:val="001D41D3"/>
    <w:rsid w:val="001D70D6"/>
    <w:rsid w:val="001D79C2"/>
    <w:rsid w:val="001E1050"/>
    <w:rsid w:val="001E1874"/>
    <w:rsid w:val="001E18F6"/>
    <w:rsid w:val="001E2470"/>
    <w:rsid w:val="001E2947"/>
    <w:rsid w:val="001E4593"/>
    <w:rsid w:val="001E55C6"/>
    <w:rsid w:val="001E565F"/>
    <w:rsid w:val="001E6EE5"/>
    <w:rsid w:val="001E6FCE"/>
    <w:rsid w:val="001E707C"/>
    <w:rsid w:val="001E7B25"/>
    <w:rsid w:val="001F08A9"/>
    <w:rsid w:val="001F14CD"/>
    <w:rsid w:val="001F155D"/>
    <w:rsid w:val="001F190A"/>
    <w:rsid w:val="001F256B"/>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3D0D"/>
    <w:rsid w:val="00224477"/>
    <w:rsid w:val="00225663"/>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0A84"/>
    <w:rsid w:val="00241052"/>
    <w:rsid w:val="00241F60"/>
    <w:rsid w:val="00242021"/>
    <w:rsid w:val="002435A1"/>
    <w:rsid w:val="0024391E"/>
    <w:rsid w:val="00243B34"/>
    <w:rsid w:val="00244886"/>
    <w:rsid w:val="00245E20"/>
    <w:rsid w:val="00245E6B"/>
    <w:rsid w:val="00247653"/>
    <w:rsid w:val="00254B32"/>
    <w:rsid w:val="00255D5D"/>
    <w:rsid w:val="0025676D"/>
    <w:rsid w:val="00256926"/>
    <w:rsid w:val="00256FF5"/>
    <w:rsid w:val="00257023"/>
    <w:rsid w:val="00257B88"/>
    <w:rsid w:val="00257D91"/>
    <w:rsid w:val="002608BC"/>
    <w:rsid w:val="002626E7"/>
    <w:rsid w:val="0026293B"/>
    <w:rsid w:val="00265EC8"/>
    <w:rsid w:val="002660BC"/>
    <w:rsid w:val="00267F31"/>
    <w:rsid w:val="00272AD7"/>
    <w:rsid w:val="00273DD4"/>
    <w:rsid w:val="00275BAE"/>
    <w:rsid w:val="002768BC"/>
    <w:rsid w:val="00276F76"/>
    <w:rsid w:val="00277C1F"/>
    <w:rsid w:val="002805DD"/>
    <w:rsid w:val="0028321D"/>
    <w:rsid w:val="00283810"/>
    <w:rsid w:val="00284884"/>
    <w:rsid w:val="00284A68"/>
    <w:rsid w:val="00284FF6"/>
    <w:rsid w:val="00285111"/>
    <w:rsid w:val="00285B86"/>
    <w:rsid w:val="00285D98"/>
    <w:rsid w:val="00286622"/>
    <w:rsid w:val="002866AD"/>
    <w:rsid w:val="002869F3"/>
    <w:rsid w:val="00287C90"/>
    <w:rsid w:val="00293286"/>
    <w:rsid w:val="00294BEB"/>
    <w:rsid w:val="00295350"/>
    <w:rsid w:val="00295C18"/>
    <w:rsid w:val="00296D13"/>
    <w:rsid w:val="00296E59"/>
    <w:rsid w:val="002A1BF4"/>
    <w:rsid w:val="002A21CE"/>
    <w:rsid w:val="002A78C8"/>
    <w:rsid w:val="002B0081"/>
    <w:rsid w:val="002B1018"/>
    <w:rsid w:val="002B1639"/>
    <w:rsid w:val="002B1E83"/>
    <w:rsid w:val="002B2DEE"/>
    <w:rsid w:val="002B4316"/>
    <w:rsid w:val="002B4CDD"/>
    <w:rsid w:val="002B745F"/>
    <w:rsid w:val="002C0E69"/>
    <w:rsid w:val="002C1016"/>
    <w:rsid w:val="002C1B71"/>
    <w:rsid w:val="002C1C0B"/>
    <w:rsid w:val="002C1ECF"/>
    <w:rsid w:val="002C2000"/>
    <w:rsid w:val="002C363E"/>
    <w:rsid w:val="002C454C"/>
    <w:rsid w:val="002C4E9F"/>
    <w:rsid w:val="002C5942"/>
    <w:rsid w:val="002C5CF2"/>
    <w:rsid w:val="002C63AD"/>
    <w:rsid w:val="002C6F7A"/>
    <w:rsid w:val="002C79D4"/>
    <w:rsid w:val="002C7E84"/>
    <w:rsid w:val="002D029D"/>
    <w:rsid w:val="002D02EF"/>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0D40"/>
    <w:rsid w:val="002F14EB"/>
    <w:rsid w:val="002F4817"/>
    <w:rsid w:val="002F582F"/>
    <w:rsid w:val="002F6F11"/>
    <w:rsid w:val="002F701F"/>
    <w:rsid w:val="002F7094"/>
    <w:rsid w:val="002F727A"/>
    <w:rsid w:val="002F75C9"/>
    <w:rsid w:val="003009EE"/>
    <w:rsid w:val="00301FDB"/>
    <w:rsid w:val="00303D98"/>
    <w:rsid w:val="0030673C"/>
    <w:rsid w:val="00306773"/>
    <w:rsid w:val="00310960"/>
    <w:rsid w:val="003130D7"/>
    <w:rsid w:val="003142E1"/>
    <w:rsid w:val="0031623E"/>
    <w:rsid w:val="003169CF"/>
    <w:rsid w:val="00317C3E"/>
    <w:rsid w:val="0032041B"/>
    <w:rsid w:val="00322035"/>
    <w:rsid w:val="00322185"/>
    <w:rsid w:val="00322F39"/>
    <w:rsid w:val="00323101"/>
    <w:rsid w:val="00323145"/>
    <w:rsid w:val="0032739B"/>
    <w:rsid w:val="003312C5"/>
    <w:rsid w:val="00331790"/>
    <w:rsid w:val="00331BAA"/>
    <w:rsid w:val="003328E3"/>
    <w:rsid w:val="0033319C"/>
    <w:rsid w:val="0033432F"/>
    <w:rsid w:val="00334652"/>
    <w:rsid w:val="003346E7"/>
    <w:rsid w:val="003355E0"/>
    <w:rsid w:val="00340D03"/>
    <w:rsid w:val="00341CE0"/>
    <w:rsid w:val="00346CA7"/>
    <w:rsid w:val="00347AB5"/>
    <w:rsid w:val="00347D71"/>
    <w:rsid w:val="00350AF7"/>
    <w:rsid w:val="003518C3"/>
    <w:rsid w:val="003528FD"/>
    <w:rsid w:val="003531B5"/>
    <w:rsid w:val="0035421A"/>
    <w:rsid w:val="00355F21"/>
    <w:rsid w:val="0035747F"/>
    <w:rsid w:val="0035767B"/>
    <w:rsid w:val="0036290D"/>
    <w:rsid w:val="00362E0C"/>
    <w:rsid w:val="0036303C"/>
    <w:rsid w:val="003653DE"/>
    <w:rsid w:val="00365E24"/>
    <w:rsid w:val="00370A08"/>
    <w:rsid w:val="00371067"/>
    <w:rsid w:val="00371E3E"/>
    <w:rsid w:val="0037215D"/>
    <w:rsid w:val="0037289C"/>
    <w:rsid w:val="0037493B"/>
    <w:rsid w:val="00375547"/>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092A"/>
    <w:rsid w:val="003A0E15"/>
    <w:rsid w:val="003A22A0"/>
    <w:rsid w:val="003A22B8"/>
    <w:rsid w:val="003A2320"/>
    <w:rsid w:val="003A2353"/>
    <w:rsid w:val="003A2895"/>
    <w:rsid w:val="003A28D9"/>
    <w:rsid w:val="003B089D"/>
    <w:rsid w:val="003B25B2"/>
    <w:rsid w:val="003B489C"/>
    <w:rsid w:val="003B5F12"/>
    <w:rsid w:val="003B6A03"/>
    <w:rsid w:val="003B6DA0"/>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5DBD"/>
    <w:rsid w:val="003E6AA2"/>
    <w:rsid w:val="003E6C28"/>
    <w:rsid w:val="003E7A74"/>
    <w:rsid w:val="003F1221"/>
    <w:rsid w:val="003F1AB9"/>
    <w:rsid w:val="003F39AD"/>
    <w:rsid w:val="003F4E02"/>
    <w:rsid w:val="003F4F2A"/>
    <w:rsid w:val="003F4FAA"/>
    <w:rsid w:val="003F53DF"/>
    <w:rsid w:val="003F6029"/>
    <w:rsid w:val="003F777B"/>
    <w:rsid w:val="003F782D"/>
    <w:rsid w:val="003F7F55"/>
    <w:rsid w:val="00401540"/>
    <w:rsid w:val="00402C0A"/>
    <w:rsid w:val="00406220"/>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33B2A"/>
    <w:rsid w:val="00433FA5"/>
    <w:rsid w:val="00441E9A"/>
    <w:rsid w:val="00442EA9"/>
    <w:rsid w:val="00443502"/>
    <w:rsid w:val="00445D6F"/>
    <w:rsid w:val="00446384"/>
    <w:rsid w:val="00447BE6"/>
    <w:rsid w:val="004510C3"/>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4EF"/>
    <w:rsid w:val="00475E61"/>
    <w:rsid w:val="00475F6B"/>
    <w:rsid w:val="0047634C"/>
    <w:rsid w:val="0047637D"/>
    <w:rsid w:val="004767B5"/>
    <w:rsid w:val="0048174F"/>
    <w:rsid w:val="00481DFA"/>
    <w:rsid w:val="00481EED"/>
    <w:rsid w:val="004822AF"/>
    <w:rsid w:val="004848A1"/>
    <w:rsid w:val="00484A27"/>
    <w:rsid w:val="00485BA0"/>
    <w:rsid w:val="004861BE"/>
    <w:rsid w:val="00486313"/>
    <w:rsid w:val="00486690"/>
    <w:rsid w:val="00487016"/>
    <w:rsid w:val="00487D2A"/>
    <w:rsid w:val="00490008"/>
    <w:rsid w:val="00490D32"/>
    <w:rsid w:val="00491EBF"/>
    <w:rsid w:val="00492945"/>
    <w:rsid w:val="00493B2C"/>
    <w:rsid w:val="00493B51"/>
    <w:rsid w:val="00493C76"/>
    <w:rsid w:val="00493D5E"/>
    <w:rsid w:val="00495672"/>
    <w:rsid w:val="0049580F"/>
    <w:rsid w:val="00495A5F"/>
    <w:rsid w:val="00497DD9"/>
    <w:rsid w:val="004A0C85"/>
    <w:rsid w:val="004A1844"/>
    <w:rsid w:val="004A2CCC"/>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4F78"/>
    <w:rsid w:val="004B6CE1"/>
    <w:rsid w:val="004B72E1"/>
    <w:rsid w:val="004B737C"/>
    <w:rsid w:val="004B7E5B"/>
    <w:rsid w:val="004C5494"/>
    <w:rsid w:val="004C62F1"/>
    <w:rsid w:val="004C65D0"/>
    <w:rsid w:val="004D0671"/>
    <w:rsid w:val="004D10A5"/>
    <w:rsid w:val="004D1ADB"/>
    <w:rsid w:val="004D1B33"/>
    <w:rsid w:val="004D1DB2"/>
    <w:rsid w:val="004D21E6"/>
    <w:rsid w:val="004D288B"/>
    <w:rsid w:val="004D3C04"/>
    <w:rsid w:val="004D3E5D"/>
    <w:rsid w:val="004D5317"/>
    <w:rsid w:val="004D6FF3"/>
    <w:rsid w:val="004E0857"/>
    <w:rsid w:val="004E09D5"/>
    <w:rsid w:val="004E15E2"/>
    <w:rsid w:val="004E1BF8"/>
    <w:rsid w:val="004E2396"/>
    <w:rsid w:val="004E3DE1"/>
    <w:rsid w:val="004E47E8"/>
    <w:rsid w:val="004E62FC"/>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623A"/>
    <w:rsid w:val="00506327"/>
    <w:rsid w:val="00507CCA"/>
    <w:rsid w:val="00507F42"/>
    <w:rsid w:val="0051000F"/>
    <w:rsid w:val="0051144B"/>
    <w:rsid w:val="00511EFA"/>
    <w:rsid w:val="005123C9"/>
    <w:rsid w:val="005141DB"/>
    <w:rsid w:val="00514FFF"/>
    <w:rsid w:val="0051560F"/>
    <w:rsid w:val="00515C90"/>
    <w:rsid w:val="00516267"/>
    <w:rsid w:val="005178B3"/>
    <w:rsid w:val="00520374"/>
    <w:rsid w:val="005234A6"/>
    <w:rsid w:val="00523B2F"/>
    <w:rsid w:val="00523FA3"/>
    <w:rsid w:val="005254B0"/>
    <w:rsid w:val="0052584B"/>
    <w:rsid w:val="00526257"/>
    <w:rsid w:val="005262C9"/>
    <w:rsid w:val="00526535"/>
    <w:rsid w:val="00530075"/>
    <w:rsid w:val="00531390"/>
    <w:rsid w:val="00531E68"/>
    <w:rsid w:val="0053444B"/>
    <w:rsid w:val="00534B63"/>
    <w:rsid w:val="00534DD8"/>
    <w:rsid w:val="00535ACC"/>
    <w:rsid w:val="00535BE2"/>
    <w:rsid w:val="00536E66"/>
    <w:rsid w:val="00537209"/>
    <w:rsid w:val="00541239"/>
    <w:rsid w:val="0054436E"/>
    <w:rsid w:val="005458A1"/>
    <w:rsid w:val="00546390"/>
    <w:rsid w:val="005463EB"/>
    <w:rsid w:val="0054661B"/>
    <w:rsid w:val="005478A8"/>
    <w:rsid w:val="005502E1"/>
    <w:rsid w:val="0055124F"/>
    <w:rsid w:val="00551537"/>
    <w:rsid w:val="00552CF1"/>
    <w:rsid w:val="00561EA6"/>
    <w:rsid w:val="00562FD7"/>
    <w:rsid w:val="005634D9"/>
    <w:rsid w:val="00563816"/>
    <w:rsid w:val="00563B6B"/>
    <w:rsid w:val="005656A6"/>
    <w:rsid w:val="00565B7C"/>
    <w:rsid w:val="00565E2E"/>
    <w:rsid w:val="00566397"/>
    <w:rsid w:val="005668AB"/>
    <w:rsid w:val="00567676"/>
    <w:rsid w:val="0056787C"/>
    <w:rsid w:val="00571162"/>
    <w:rsid w:val="00571D07"/>
    <w:rsid w:val="005723DE"/>
    <w:rsid w:val="00573C46"/>
    <w:rsid w:val="00573F99"/>
    <w:rsid w:val="005779C8"/>
    <w:rsid w:val="00577A0F"/>
    <w:rsid w:val="00577BAD"/>
    <w:rsid w:val="00580CA8"/>
    <w:rsid w:val="005814B4"/>
    <w:rsid w:val="005817A0"/>
    <w:rsid w:val="005829CD"/>
    <w:rsid w:val="00585ECA"/>
    <w:rsid w:val="00590523"/>
    <w:rsid w:val="0059074F"/>
    <w:rsid w:val="0059127C"/>
    <w:rsid w:val="00591E7A"/>
    <w:rsid w:val="0059215C"/>
    <w:rsid w:val="0059433E"/>
    <w:rsid w:val="00595122"/>
    <w:rsid w:val="00595A5A"/>
    <w:rsid w:val="00595FEE"/>
    <w:rsid w:val="0059632D"/>
    <w:rsid w:val="00597F33"/>
    <w:rsid w:val="005A05D8"/>
    <w:rsid w:val="005A1461"/>
    <w:rsid w:val="005A263A"/>
    <w:rsid w:val="005A2A16"/>
    <w:rsid w:val="005A338E"/>
    <w:rsid w:val="005A3CD5"/>
    <w:rsid w:val="005A40C8"/>
    <w:rsid w:val="005A6B83"/>
    <w:rsid w:val="005A6C42"/>
    <w:rsid w:val="005A6D1F"/>
    <w:rsid w:val="005B01D0"/>
    <w:rsid w:val="005B07AE"/>
    <w:rsid w:val="005B130C"/>
    <w:rsid w:val="005B301C"/>
    <w:rsid w:val="005B744A"/>
    <w:rsid w:val="005B78D0"/>
    <w:rsid w:val="005B7AF7"/>
    <w:rsid w:val="005C0922"/>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4FD0"/>
    <w:rsid w:val="005E71FE"/>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594"/>
    <w:rsid w:val="00621680"/>
    <w:rsid w:val="006217B4"/>
    <w:rsid w:val="00621FFF"/>
    <w:rsid w:val="00622071"/>
    <w:rsid w:val="006220FE"/>
    <w:rsid w:val="00622A02"/>
    <w:rsid w:val="00622A4A"/>
    <w:rsid w:val="00622ECA"/>
    <w:rsid w:val="006236D9"/>
    <w:rsid w:val="00624799"/>
    <w:rsid w:val="00624A92"/>
    <w:rsid w:val="0062554E"/>
    <w:rsid w:val="00625764"/>
    <w:rsid w:val="006268EF"/>
    <w:rsid w:val="006303E1"/>
    <w:rsid w:val="00631FD8"/>
    <w:rsid w:val="00632DF4"/>
    <w:rsid w:val="00633552"/>
    <w:rsid w:val="00634025"/>
    <w:rsid w:val="0063454A"/>
    <w:rsid w:val="00635750"/>
    <w:rsid w:val="006368FE"/>
    <w:rsid w:val="0064001C"/>
    <w:rsid w:val="006430E6"/>
    <w:rsid w:val="006439C1"/>
    <w:rsid w:val="00643DB4"/>
    <w:rsid w:val="00647571"/>
    <w:rsid w:val="00650626"/>
    <w:rsid w:val="006517B4"/>
    <w:rsid w:val="00651878"/>
    <w:rsid w:val="00651CC4"/>
    <w:rsid w:val="0065439D"/>
    <w:rsid w:val="006558C2"/>
    <w:rsid w:val="006561AC"/>
    <w:rsid w:val="00656401"/>
    <w:rsid w:val="00656EF0"/>
    <w:rsid w:val="006600BA"/>
    <w:rsid w:val="00660D63"/>
    <w:rsid w:val="00661578"/>
    <w:rsid w:val="00661C29"/>
    <w:rsid w:val="00662210"/>
    <w:rsid w:val="006646C3"/>
    <w:rsid w:val="00664B0F"/>
    <w:rsid w:val="00664D99"/>
    <w:rsid w:val="00665AB5"/>
    <w:rsid w:val="00671EAC"/>
    <w:rsid w:val="00672E52"/>
    <w:rsid w:val="00673670"/>
    <w:rsid w:val="00673DE9"/>
    <w:rsid w:val="00674336"/>
    <w:rsid w:val="00675EE2"/>
    <w:rsid w:val="006779C2"/>
    <w:rsid w:val="0068015B"/>
    <w:rsid w:val="006815B8"/>
    <w:rsid w:val="006822DE"/>
    <w:rsid w:val="0068293F"/>
    <w:rsid w:val="00683FE5"/>
    <w:rsid w:val="006859A8"/>
    <w:rsid w:val="00685E06"/>
    <w:rsid w:val="006863A2"/>
    <w:rsid w:val="00687ABD"/>
    <w:rsid w:val="00690215"/>
    <w:rsid w:val="00691793"/>
    <w:rsid w:val="00692412"/>
    <w:rsid w:val="006947E8"/>
    <w:rsid w:val="0069554C"/>
    <w:rsid w:val="006956E6"/>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431"/>
    <w:rsid w:val="006B26B4"/>
    <w:rsid w:val="006B2F07"/>
    <w:rsid w:val="006B4659"/>
    <w:rsid w:val="006B4DA9"/>
    <w:rsid w:val="006B6037"/>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345C"/>
    <w:rsid w:val="006E50CE"/>
    <w:rsid w:val="006E5394"/>
    <w:rsid w:val="006E59A7"/>
    <w:rsid w:val="006E5BEC"/>
    <w:rsid w:val="006E5CAE"/>
    <w:rsid w:val="006E7A18"/>
    <w:rsid w:val="006F0E12"/>
    <w:rsid w:val="006F20DB"/>
    <w:rsid w:val="006F2E6E"/>
    <w:rsid w:val="006F2F46"/>
    <w:rsid w:val="006F37BC"/>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BB0"/>
    <w:rsid w:val="00716DC4"/>
    <w:rsid w:val="00720911"/>
    <w:rsid w:val="00721CE7"/>
    <w:rsid w:val="00724A40"/>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613"/>
    <w:rsid w:val="00745BAA"/>
    <w:rsid w:val="00747313"/>
    <w:rsid w:val="007473B1"/>
    <w:rsid w:val="0074750A"/>
    <w:rsid w:val="00751A75"/>
    <w:rsid w:val="00752B4C"/>
    <w:rsid w:val="007530CE"/>
    <w:rsid w:val="00753BDA"/>
    <w:rsid w:val="00753E43"/>
    <w:rsid w:val="00754895"/>
    <w:rsid w:val="0075520E"/>
    <w:rsid w:val="0075546A"/>
    <w:rsid w:val="007558C9"/>
    <w:rsid w:val="00755A26"/>
    <w:rsid w:val="00755A52"/>
    <w:rsid w:val="007561C7"/>
    <w:rsid w:val="0075743B"/>
    <w:rsid w:val="007575C4"/>
    <w:rsid w:val="007576A7"/>
    <w:rsid w:val="0075793D"/>
    <w:rsid w:val="007638F1"/>
    <w:rsid w:val="0076422E"/>
    <w:rsid w:val="00764527"/>
    <w:rsid w:val="00764736"/>
    <w:rsid w:val="00765E75"/>
    <w:rsid w:val="00766B11"/>
    <w:rsid w:val="00766B52"/>
    <w:rsid w:val="00766F99"/>
    <w:rsid w:val="00770423"/>
    <w:rsid w:val="007709DA"/>
    <w:rsid w:val="0077120F"/>
    <w:rsid w:val="00771384"/>
    <w:rsid w:val="00771ADA"/>
    <w:rsid w:val="0077222A"/>
    <w:rsid w:val="00773C74"/>
    <w:rsid w:val="00775C70"/>
    <w:rsid w:val="0077615D"/>
    <w:rsid w:val="007761F1"/>
    <w:rsid w:val="00776564"/>
    <w:rsid w:val="00776937"/>
    <w:rsid w:val="007773AD"/>
    <w:rsid w:val="0077776C"/>
    <w:rsid w:val="00781028"/>
    <w:rsid w:val="007824A5"/>
    <w:rsid w:val="00783CA8"/>
    <w:rsid w:val="0078409F"/>
    <w:rsid w:val="007844F8"/>
    <w:rsid w:val="0078647F"/>
    <w:rsid w:val="007907C5"/>
    <w:rsid w:val="0079120E"/>
    <w:rsid w:val="0079344C"/>
    <w:rsid w:val="007969D1"/>
    <w:rsid w:val="007A0759"/>
    <w:rsid w:val="007A2FAE"/>
    <w:rsid w:val="007A315C"/>
    <w:rsid w:val="007A4372"/>
    <w:rsid w:val="007A4A29"/>
    <w:rsid w:val="007A556D"/>
    <w:rsid w:val="007A55F7"/>
    <w:rsid w:val="007A776B"/>
    <w:rsid w:val="007A79CB"/>
    <w:rsid w:val="007B0646"/>
    <w:rsid w:val="007B0740"/>
    <w:rsid w:val="007B15A4"/>
    <w:rsid w:val="007B4D6E"/>
    <w:rsid w:val="007B545F"/>
    <w:rsid w:val="007B6C90"/>
    <w:rsid w:val="007C1E1D"/>
    <w:rsid w:val="007C2B83"/>
    <w:rsid w:val="007C2E21"/>
    <w:rsid w:val="007C3325"/>
    <w:rsid w:val="007C46EB"/>
    <w:rsid w:val="007C4956"/>
    <w:rsid w:val="007C5A7F"/>
    <w:rsid w:val="007C5DA5"/>
    <w:rsid w:val="007D1587"/>
    <w:rsid w:val="007D17C3"/>
    <w:rsid w:val="007D1C6F"/>
    <w:rsid w:val="007D2B7F"/>
    <w:rsid w:val="007D2E93"/>
    <w:rsid w:val="007D3381"/>
    <w:rsid w:val="007D53E7"/>
    <w:rsid w:val="007D61B8"/>
    <w:rsid w:val="007D69C7"/>
    <w:rsid w:val="007D7E98"/>
    <w:rsid w:val="007E417C"/>
    <w:rsid w:val="007E50F1"/>
    <w:rsid w:val="007E5940"/>
    <w:rsid w:val="007E5AA0"/>
    <w:rsid w:val="007E6383"/>
    <w:rsid w:val="007F10C1"/>
    <w:rsid w:val="007F2160"/>
    <w:rsid w:val="007F325F"/>
    <w:rsid w:val="007F3AD9"/>
    <w:rsid w:val="007F3DBD"/>
    <w:rsid w:val="007F70AB"/>
    <w:rsid w:val="007F7AB1"/>
    <w:rsid w:val="00800E1E"/>
    <w:rsid w:val="00802095"/>
    <w:rsid w:val="008020E6"/>
    <w:rsid w:val="008024E2"/>
    <w:rsid w:val="00802774"/>
    <w:rsid w:val="00802ED4"/>
    <w:rsid w:val="00806D33"/>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1D9A"/>
    <w:rsid w:val="00832D41"/>
    <w:rsid w:val="008336DA"/>
    <w:rsid w:val="00834120"/>
    <w:rsid w:val="0083422A"/>
    <w:rsid w:val="00834B80"/>
    <w:rsid w:val="008350E8"/>
    <w:rsid w:val="00835142"/>
    <w:rsid w:val="00835A8B"/>
    <w:rsid w:val="0083631D"/>
    <w:rsid w:val="008418E9"/>
    <w:rsid w:val="008425A6"/>
    <w:rsid w:val="00843BAD"/>
    <w:rsid w:val="00843D54"/>
    <w:rsid w:val="008444BA"/>
    <w:rsid w:val="008456DB"/>
    <w:rsid w:val="0084576A"/>
    <w:rsid w:val="00850875"/>
    <w:rsid w:val="00850F63"/>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67060"/>
    <w:rsid w:val="00871F19"/>
    <w:rsid w:val="0087218F"/>
    <w:rsid w:val="00873400"/>
    <w:rsid w:val="00873C4A"/>
    <w:rsid w:val="0087535C"/>
    <w:rsid w:val="008755C5"/>
    <w:rsid w:val="0087774B"/>
    <w:rsid w:val="00880B6C"/>
    <w:rsid w:val="008848D9"/>
    <w:rsid w:val="00884A48"/>
    <w:rsid w:val="008850DE"/>
    <w:rsid w:val="0088552E"/>
    <w:rsid w:val="0088667E"/>
    <w:rsid w:val="00886E80"/>
    <w:rsid w:val="00887A87"/>
    <w:rsid w:val="00890B20"/>
    <w:rsid w:val="00891D1C"/>
    <w:rsid w:val="00891FBD"/>
    <w:rsid w:val="00892110"/>
    <w:rsid w:val="0089299C"/>
    <w:rsid w:val="00892BD0"/>
    <w:rsid w:val="00892BEB"/>
    <w:rsid w:val="008936C2"/>
    <w:rsid w:val="00893BBA"/>
    <w:rsid w:val="00894496"/>
    <w:rsid w:val="008957E1"/>
    <w:rsid w:val="00897F6D"/>
    <w:rsid w:val="008A100E"/>
    <w:rsid w:val="008A1AC2"/>
    <w:rsid w:val="008A258A"/>
    <w:rsid w:val="008A5DC9"/>
    <w:rsid w:val="008A75AE"/>
    <w:rsid w:val="008B068F"/>
    <w:rsid w:val="008B15F1"/>
    <w:rsid w:val="008B1FF2"/>
    <w:rsid w:val="008B2D9C"/>
    <w:rsid w:val="008B4DF4"/>
    <w:rsid w:val="008B500A"/>
    <w:rsid w:val="008B51DB"/>
    <w:rsid w:val="008B68E8"/>
    <w:rsid w:val="008B7504"/>
    <w:rsid w:val="008B7E4C"/>
    <w:rsid w:val="008C1110"/>
    <w:rsid w:val="008C1672"/>
    <w:rsid w:val="008C345D"/>
    <w:rsid w:val="008C443E"/>
    <w:rsid w:val="008C4BC6"/>
    <w:rsid w:val="008C5A60"/>
    <w:rsid w:val="008C64FD"/>
    <w:rsid w:val="008C6BF4"/>
    <w:rsid w:val="008D0051"/>
    <w:rsid w:val="008D58DB"/>
    <w:rsid w:val="008D5E17"/>
    <w:rsid w:val="008D633E"/>
    <w:rsid w:val="008D68D6"/>
    <w:rsid w:val="008D6E48"/>
    <w:rsid w:val="008E0578"/>
    <w:rsid w:val="008E0C5C"/>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1CDE"/>
    <w:rsid w:val="00903264"/>
    <w:rsid w:val="009032CF"/>
    <w:rsid w:val="0090463B"/>
    <w:rsid w:val="009060FF"/>
    <w:rsid w:val="00906217"/>
    <w:rsid w:val="00912FFB"/>
    <w:rsid w:val="0091325D"/>
    <w:rsid w:val="00913E1C"/>
    <w:rsid w:val="00913E2D"/>
    <w:rsid w:val="00914F24"/>
    <w:rsid w:val="0091528C"/>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729E"/>
    <w:rsid w:val="00940691"/>
    <w:rsid w:val="0094413A"/>
    <w:rsid w:val="00945E10"/>
    <w:rsid w:val="009477EF"/>
    <w:rsid w:val="00950F0D"/>
    <w:rsid w:val="00951481"/>
    <w:rsid w:val="00951C6C"/>
    <w:rsid w:val="00954BEE"/>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97"/>
    <w:rsid w:val="009713DD"/>
    <w:rsid w:val="009715A7"/>
    <w:rsid w:val="009729F9"/>
    <w:rsid w:val="00972C06"/>
    <w:rsid w:val="00972E88"/>
    <w:rsid w:val="00973552"/>
    <w:rsid w:val="009743C3"/>
    <w:rsid w:val="00974BA2"/>
    <w:rsid w:val="00974E38"/>
    <w:rsid w:val="00977B2C"/>
    <w:rsid w:val="0098031A"/>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BA8"/>
    <w:rsid w:val="009A1D65"/>
    <w:rsid w:val="009A2242"/>
    <w:rsid w:val="009A244D"/>
    <w:rsid w:val="009A45E0"/>
    <w:rsid w:val="009A5C93"/>
    <w:rsid w:val="009A5F2C"/>
    <w:rsid w:val="009A630A"/>
    <w:rsid w:val="009A75F2"/>
    <w:rsid w:val="009B12D5"/>
    <w:rsid w:val="009B1903"/>
    <w:rsid w:val="009B21A5"/>
    <w:rsid w:val="009B29BC"/>
    <w:rsid w:val="009B2EB7"/>
    <w:rsid w:val="009B3056"/>
    <w:rsid w:val="009B37DB"/>
    <w:rsid w:val="009B58F2"/>
    <w:rsid w:val="009B5E0F"/>
    <w:rsid w:val="009B69E4"/>
    <w:rsid w:val="009C01C1"/>
    <w:rsid w:val="009C03BB"/>
    <w:rsid w:val="009C2A55"/>
    <w:rsid w:val="009C51AD"/>
    <w:rsid w:val="009C7081"/>
    <w:rsid w:val="009D0DDB"/>
    <w:rsid w:val="009D1C24"/>
    <w:rsid w:val="009D2541"/>
    <w:rsid w:val="009D2749"/>
    <w:rsid w:val="009D4055"/>
    <w:rsid w:val="009D5404"/>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4CDE"/>
    <w:rsid w:val="00A0558E"/>
    <w:rsid w:val="00A05690"/>
    <w:rsid w:val="00A06944"/>
    <w:rsid w:val="00A10A13"/>
    <w:rsid w:val="00A10DFE"/>
    <w:rsid w:val="00A12756"/>
    <w:rsid w:val="00A12BB2"/>
    <w:rsid w:val="00A1331F"/>
    <w:rsid w:val="00A13AE8"/>
    <w:rsid w:val="00A14FD5"/>
    <w:rsid w:val="00A15B5C"/>
    <w:rsid w:val="00A17ABC"/>
    <w:rsid w:val="00A20210"/>
    <w:rsid w:val="00A2028A"/>
    <w:rsid w:val="00A22580"/>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67FE0"/>
    <w:rsid w:val="00A70DFD"/>
    <w:rsid w:val="00A71F1D"/>
    <w:rsid w:val="00A72F49"/>
    <w:rsid w:val="00A7428F"/>
    <w:rsid w:val="00A74A5F"/>
    <w:rsid w:val="00A75223"/>
    <w:rsid w:val="00A7555F"/>
    <w:rsid w:val="00A8343B"/>
    <w:rsid w:val="00A85AAF"/>
    <w:rsid w:val="00A85CA5"/>
    <w:rsid w:val="00A85D11"/>
    <w:rsid w:val="00A87879"/>
    <w:rsid w:val="00A87A1F"/>
    <w:rsid w:val="00A92508"/>
    <w:rsid w:val="00A94B01"/>
    <w:rsid w:val="00A9501F"/>
    <w:rsid w:val="00A96B40"/>
    <w:rsid w:val="00A97561"/>
    <w:rsid w:val="00AA265B"/>
    <w:rsid w:val="00AA2E3B"/>
    <w:rsid w:val="00AA5359"/>
    <w:rsid w:val="00AA5EFC"/>
    <w:rsid w:val="00AA7452"/>
    <w:rsid w:val="00AB0A0C"/>
    <w:rsid w:val="00AB0B80"/>
    <w:rsid w:val="00AB2956"/>
    <w:rsid w:val="00AB2FE7"/>
    <w:rsid w:val="00AB398D"/>
    <w:rsid w:val="00AB55DC"/>
    <w:rsid w:val="00AB59B7"/>
    <w:rsid w:val="00AB6DDB"/>
    <w:rsid w:val="00AC05E8"/>
    <w:rsid w:val="00AC08FD"/>
    <w:rsid w:val="00AC247E"/>
    <w:rsid w:val="00AC42DE"/>
    <w:rsid w:val="00AC4733"/>
    <w:rsid w:val="00AC4FE5"/>
    <w:rsid w:val="00AC556E"/>
    <w:rsid w:val="00AC56D8"/>
    <w:rsid w:val="00AC630E"/>
    <w:rsid w:val="00AC7541"/>
    <w:rsid w:val="00AD0858"/>
    <w:rsid w:val="00AD0D88"/>
    <w:rsid w:val="00AD31A9"/>
    <w:rsid w:val="00AD3CDD"/>
    <w:rsid w:val="00AD485B"/>
    <w:rsid w:val="00AD6418"/>
    <w:rsid w:val="00AD6887"/>
    <w:rsid w:val="00AE4EEE"/>
    <w:rsid w:val="00AE574A"/>
    <w:rsid w:val="00AE5FB3"/>
    <w:rsid w:val="00AF046B"/>
    <w:rsid w:val="00AF281E"/>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047"/>
    <w:rsid w:val="00B072F4"/>
    <w:rsid w:val="00B07395"/>
    <w:rsid w:val="00B07EF8"/>
    <w:rsid w:val="00B11BA1"/>
    <w:rsid w:val="00B12053"/>
    <w:rsid w:val="00B13553"/>
    <w:rsid w:val="00B140D9"/>
    <w:rsid w:val="00B17957"/>
    <w:rsid w:val="00B17BDC"/>
    <w:rsid w:val="00B20716"/>
    <w:rsid w:val="00B224F9"/>
    <w:rsid w:val="00B228E3"/>
    <w:rsid w:val="00B23600"/>
    <w:rsid w:val="00B23E99"/>
    <w:rsid w:val="00B24D49"/>
    <w:rsid w:val="00B252A9"/>
    <w:rsid w:val="00B25AF4"/>
    <w:rsid w:val="00B27BCD"/>
    <w:rsid w:val="00B324A2"/>
    <w:rsid w:val="00B325A1"/>
    <w:rsid w:val="00B332E1"/>
    <w:rsid w:val="00B333AA"/>
    <w:rsid w:val="00B35908"/>
    <w:rsid w:val="00B35D3B"/>
    <w:rsid w:val="00B36B8B"/>
    <w:rsid w:val="00B37B18"/>
    <w:rsid w:val="00B401DD"/>
    <w:rsid w:val="00B4206E"/>
    <w:rsid w:val="00B422A1"/>
    <w:rsid w:val="00B42E2A"/>
    <w:rsid w:val="00B430E9"/>
    <w:rsid w:val="00B4487F"/>
    <w:rsid w:val="00B44A43"/>
    <w:rsid w:val="00B470CE"/>
    <w:rsid w:val="00B47B5B"/>
    <w:rsid w:val="00B509B3"/>
    <w:rsid w:val="00B54056"/>
    <w:rsid w:val="00B55406"/>
    <w:rsid w:val="00B55713"/>
    <w:rsid w:val="00B6211C"/>
    <w:rsid w:val="00B63E4C"/>
    <w:rsid w:val="00B65122"/>
    <w:rsid w:val="00B65251"/>
    <w:rsid w:val="00B675E5"/>
    <w:rsid w:val="00B67630"/>
    <w:rsid w:val="00B72D7E"/>
    <w:rsid w:val="00B7339F"/>
    <w:rsid w:val="00B73509"/>
    <w:rsid w:val="00B739AB"/>
    <w:rsid w:val="00B74469"/>
    <w:rsid w:val="00B75A76"/>
    <w:rsid w:val="00B75BAA"/>
    <w:rsid w:val="00B75E47"/>
    <w:rsid w:val="00B75F07"/>
    <w:rsid w:val="00B80424"/>
    <w:rsid w:val="00B806D4"/>
    <w:rsid w:val="00B819D1"/>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A7C80"/>
    <w:rsid w:val="00BB06C8"/>
    <w:rsid w:val="00BB0D18"/>
    <w:rsid w:val="00BB1602"/>
    <w:rsid w:val="00BB24F8"/>
    <w:rsid w:val="00BB2CE2"/>
    <w:rsid w:val="00BB2DC4"/>
    <w:rsid w:val="00BB4B1C"/>
    <w:rsid w:val="00BB54BC"/>
    <w:rsid w:val="00BB5697"/>
    <w:rsid w:val="00BB6DE5"/>
    <w:rsid w:val="00BB7160"/>
    <w:rsid w:val="00BC2F75"/>
    <w:rsid w:val="00BD1733"/>
    <w:rsid w:val="00BD2A31"/>
    <w:rsid w:val="00BD3D32"/>
    <w:rsid w:val="00BD511A"/>
    <w:rsid w:val="00BD57D8"/>
    <w:rsid w:val="00BD61A6"/>
    <w:rsid w:val="00BD7935"/>
    <w:rsid w:val="00BD7995"/>
    <w:rsid w:val="00BE01E3"/>
    <w:rsid w:val="00BE182B"/>
    <w:rsid w:val="00BE1B77"/>
    <w:rsid w:val="00BE4C3B"/>
    <w:rsid w:val="00BE4D08"/>
    <w:rsid w:val="00BE5B51"/>
    <w:rsid w:val="00BE67C7"/>
    <w:rsid w:val="00BE7F97"/>
    <w:rsid w:val="00BF07CB"/>
    <w:rsid w:val="00BF1391"/>
    <w:rsid w:val="00BF1D88"/>
    <w:rsid w:val="00BF2F97"/>
    <w:rsid w:val="00BF3AAA"/>
    <w:rsid w:val="00BF50C9"/>
    <w:rsid w:val="00BF55DE"/>
    <w:rsid w:val="00BF6AAB"/>
    <w:rsid w:val="00BF7574"/>
    <w:rsid w:val="00BF7F00"/>
    <w:rsid w:val="00C00F0F"/>
    <w:rsid w:val="00C01E9B"/>
    <w:rsid w:val="00C05719"/>
    <w:rsid w:val="00C0584B"/>
    <w:rsid w:val="00C064AE"/>
    <w:rsid w:val="00C06E14"/>
    <w:rsid w:val="00C100E8"/>
    <w:rsid w:val="00C11178"/>
    <w:rsid w:val="00C1244B"/>
    <w:rsid w:val="00C12961"/>
    <w:rsid w:val="00C12BDB"/>
    <w:rsid w:val="00C13193"/>
    <w:rsid w:val="00C133F8"/>
    <w:rsid w:val="00C15617"/>
    <w:rsid w:val="00C15B21"/>
    <w:rsid w:val="00C172A6"/>
    <w:rsid w:val="00C172D0"/>
    <w:rsid w:val="00C21C8C"/>
    <w:rsid w:val="00C22401"/>
    <w:rsid w:val="00C25B1F"/>
    <w:rsid w:val="00C2603B"/>
    <w:rsid w:val="00C263B7"/>
    <w:rsid w:val="00C2683E"/>
    <w:rsid w:val="00C26AB9"/>
    <w:rsid w:val="00C26DB0"/>
    <w:rsid w:val="00C30D19"/>
    <w:rsid w:val="00C3128F"/>
    <w:rsid w:val="00C314C9"/>
    <w:rsid w:val="00C35CC2"/>
    <w:rsid w:val="00C36FEE"/>
    <w:rsid w:val="00C378EB"/>
    <w:rsid w:val="00C41242"/>
    <w:rsid w:val="00C425A5"/>
    <w:rsid w:val="00C42693"/>
    <w:rsid w:val="00C43540"/>
    <w:rsid w:val="00C43793"/>
    <w:rsid w:val="00C45365"/>
    <w:rsid w:val="00C455AC"/>
    <w:rsid w:val="00C456E7"/>
    <w:rsid w:val="00C4697F"/>
    <w:rsid w:val="00C51F0E"/>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4969"/>
    <w:rsid w:val="00C77253"/>
    <w:rsid w:val="00C7751A"/>
    <w:rsid w:val="00C77699"/>
    <w:rsid w:val="00C77F70"/>
    <w:rsid w:val="00C81DFB"/>
    <w:rsid w:val="00C81FF0"/>
    <w:rsid w:val="00C82EAD"/>
    <w:rsid w:val="00C85DAB"/>
    <w:rsid w:val="00C861F6"/>
    <w:rsid w:val="00C86B8B"/>
    <w:rsid w:val="00C8704E"/>
    <w:rsid w:val="00C87C98"/>
    <w:rsid w:val="00C91454"/>
    <w:rsid w:val="00C91EEE"/>
    <w:rsid w:val="00C91F4E"/>
    <w:rsid w:val="00C92BA0"/>
    <w:rsid w:val="00C945B5"/>
    <w:rsid w:val="00C962CF"/>
    <w:rsid w:val="00CA1190"/>
    <w:rsid w:val="00CA1C08"/>
    <w:rsid w:val="00CA27DF"/>
    <w:rsid w:val="00CA286A"/>
    <w:rsid w:val="00CA50F0"/>
    <w:rsid w:val="00CA59A0"/>
    <w:rsid w:val="00CA6910"/>
    <w:rsid w:val="00CA69B6"/>
    <w:rsid w:val="00CB07CF"/>
    <w:rsid w:val="00CB0809"/>
    <w:rsid w:val="00CB0BE4"/>
    <w:rsid w:val="00CB1841"/>
    <w:rsid w:val="00CB1B96"/>
    <w:rsid w:val="00CB273C"/>
    <w:rsid w:val="00CB313A"/>
    <w:rsid w:val="00CB60BD"/>
    <w:rsid w:val="00CB62CE"/>
    <w:rsid w:val="00CB6E31"/>
    <w:rsid w:val="00CB722C"/>
    <w:rsid w:val="00CB7798"/>
    <w:rsid w:val="00CC02C0"/>
    <w:rsid w:val="00CC035D"/>
    <w:rsid w:val="00CC152A"/>
    <w:rsid w:val="00CC15BD"/>
    <w:rsid w:val="00CC264A"/>
    <w:rsid w:val="00CC2B9E"/>
    <w:rsid w:val="00CC3222"/>
    <w:rsid w:val="00CC3790"/>
    <w:rsid w:val="00CC4AD4"/>
    <w:rsid w:val="00CC4EC2"/>
    <w:rsid w:val="00CC527B"/>
    <w:rsid w:val="00CC6B91"/>
    <w:rsid w:val="00CC78E4"/>
    <w:rsid w:val="00CD1673"/>
    <w:rsid w:val="00CD39B3"/>
    <w:rsid w:val="00CD493A"/>
    <w:rsid w:val="00CD49C0"/>
    <w:rsid w:val="00CD4A33"/>
    <w:rsid w:val="00CD4AA3"/>
    <w:rsid w:val="00CD57D1"/>
    <w:rsid w:val="00CD5AF8"/>
    <w:rsid w:val="00CD69B0"/>
    <w:rsid w:val="00CE115F"/>
    <w:rsid w:val="00CE180E"/>
    <w:rsid w:val="00CE399A"/>
    <w:rsid w:val="00CE43FE"/>
    <w:rsid w:val="00CE487B"/>
    <w:rsid w:val="00CE498A"/>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0744"/>
    <w:rsid w:val="00D01CBC"/>
    <w:rsid w:val="00D020FB"/>
    <w:rsid w:val="00D02BFB"/>
    <w:rsid w:val="00D051CB"/>
    <w:rsid w:val="00D0565A"/>
    <w:rsid w:val="00D0681D"/>
    <w:rsid w:val="00D106D9"/>
    <w:rsid w:val="00D10C9A"/>
    <w:rsid w:val="00D10F9A"/>
    <w:rsid w:val="00D11C61"/>
    <w:rsid w:val="00D12405"/>
    <w:rsid w:val="00D12F0A"/>
    <w:rsid w:val="00D1359F"/>
    <w:rsid w:val="00D1385A"/>
    <w:rsid w:val="00D164B2"/>
    <w:rsid w:val="00D1731E"/>
    <w:rsid w:val="00D20243"/>
    <w:rsid w:val="00D2068A"/>
    <w:rsid w:val="00D206CA"/>
    <w:rsid w:val="00D20764"/>
    <w:rsid w:val="00D20D53"/>
    <w:rsid w:val="00D21764"/>
    <w:rsid w:val="00D217E2"/>
    <w:rsid w:val="00D219BE"/>
    <w:rsid w:val="00D221F8"/>
    <w:rsid w:val="00D22FEC"/>
    <w:rsid w:val="00D23AED"/>
    <w:rsid w:val="00D23EAF"/>
    <w:rsid w:val="00D264F9"/>
    <w:rsid w:val="00D26EC5"/>
    <w:rsid w:val="00D27805"/>
    <w:rsid w:val="00D30705"/>
    <w:rsid w:val="00D31391"/>
    <w:rsid w:val="00D330C7"/>
    <w:rsid w:val="00D334E0"/>
    <w:rsid w:val="00D33A4F"/>
    <w:rsid w:val="00D35768"/>
    <w:rsid w:val="00D359DC"/>
    <w:rsid w:val="00D36486"/>
    <w:rsid w:val="00D373C2"/>
    <w:rsid w:val="00D37B21"/>
    <w:rsid w:val="00D404E6"/>
    <w:rsid w:val="00D41F40"/>
    <w:rsid w:val="00D42B68"/>
    <w:rsid w:val="00D43A01"/>
    <w:rsid w:val="00D44717"/>
    <w:rsid w:val="00D44EBB"/>
    <w:rsid w:val="00D453D9"/>
    <w:rsid w:val="00D51E4D"/>
    <w:rsid w:val="00D51F45"/>
    <w:rsid w:val="00D521B8"/>
    <w:rsid w:val="00D52319"/>
    <w:rsid w:val="00D52F31"/>
    <w:rsid w:val="00D53BEB"/>
    <w:rsid w:val="00D54DD4"/>
    <w:rsid w:val="00D55DE1"/>
    <w:rsid w:val="00D56AD6"/>
    <w:rsid w:val="00D56E64"/>
    <w:rsid w:val="00D60D6A"/>
    <w:rsid w:val="00D6299F"/>
    <w:rsid w:val="00D632CF"/>
    <w:rsid w:val="00D632D7"/>
    <w:rsid w:val="00D63407"/>
    <w:rsid w:val="00D63875"/>
    <w:rsid w:val="00D661EB"/>
    <w:rsid w:val="00D70350"/>
    <w:rsid w:val="00D70ACA"/>
    <w:rsid w:val="00D713BF"/>
    <w:rsid w:val="00D72063"/>
    <w:rsid w:val="00D72200"/>
    <w:rsid w:val="00D73BE2"/>
    <w:rsid w:val="00D73F55"/>
    <w:rsid w:val="00D76373"/>
    <w:rsid w:val="00D77034"/>
    <w:rsid w:val="00D801F9"/>
    <w:rsid w:val="00D82DA8"/>
    <w:rsid w:val="00D82E94"/>
    <w:rsid w:val="00D85360"/>
    <w:rsid w:val="00D85587"/>
    <w:rsid w:val="00D86E61"/>
    <w:rsid w:val="00D875C3"/>
    <w:rsid w:val="00D87743"/>
    <w:rsid w:val="00D877A8"/>
    <w:rsid w:val="00D87C71"/>
    <w:rsid w:val="00D907DD"/>
    <w:rsid w:val="00D9094D"/>
    <w:rsid w:val="00D90C85"/>
    <w:rsid w:val="00D915B1"/>
    <w:rsid w:val="00D92680"/>
    <w:rsid w:val="00D92A96"/>
    <w:rsid w:val="00D94AE4"/>
    <w:rsid w:val="00D95E8B"/>
    <w:rsid w:val="00D96672"/>
    <w:rsid w:val="00D96A24"/>
    <w:rsid w:val="00D97BD2"/>
    <w:rsid w:val="00DA06FC"/>
    <w:rsid w:val="00DA0C77"/>
    <w:rsid w:val="00DA0EED"/>
    <w:rsid w:val="00DA108A"/>
    <w:rsid w:val="00DA2AF3"/>
    <w:rsid w:val="00DA332B"/>
    <w:rsid w:val="00DA3A4F"/>
    <w:rsid w:val="00DA3E21"/>
    <w:rsid w:val="00DA465A"/>
    <w:rsid w:val="00DA5B2E"/>
    <w:rsid w:val="00DA5CE5"/>
    <w:rsid w:val="00DA6DF6"/>
    <w:rsid w:val="00DA6F60"/>
    <w:rsid w:val="00DA72FD"/>
    <w:rsid w:val="00DA73A7"/>
    <w:rsid w:val="00DA7708"/>
    <w:rsid w:val="00DB1BC1"/>
    <w:rsid w:val="00DB208C"/>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31CE"/>
    <w:rsid w:val="00DD6426"/>
    <w:rsid w:val="00DE00EC"/>
    <w:rsid w:val="00DE2E03"/>
    <w:rsid w:val="00DE2E95"/>
    <w:rsid w:val="00DE332F"/>
    <w:rsid w:val="00DE45A5"/>
    <w:rsid w:val="00DE528E"/>
    <w:rsid w:val="00DE5706"/>
    <w:rsid w:val="00DE587D"/>
    <w:rsid w:val="00DE6676"/>
    <w:rsid w:val="00DE69C9"/>
    <w:rsid w:val="00DE6C9D"/>
    <w:rsid w:val="00DE6D57"/>
    <w:rsid w:val="00DE7AEF"/>
    <w:rsid w:val="00DF0D89"/>
    <w:rsid w:val="00DF1A0D"/>
    <w:rsid w:val="00DF2A78"/>
    <w:rsid w:val="00DF3D74"/>
    <w:rsid w:val="00DF5B21"/>
    <w:rsid w:val="00E032FF"/>
    <w:rsid w:val="00E04E7B"/>
    <w:rsid w:val="00E05281"/>
    <w:rsid w:val="00E0550D"/>
    <w:rsid w:val="00E063DA"/>
    <w:rsid w:val="00E06B30"/>
    <w:rsid w:val="00E06C8D"/>
    <w:rsid w:val="00E06DCB"/>
    <w:rsid w:val="00E1037B"/>
    <w:rsid w:val="00E10EE6"/>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490A"/>
    <w:rsid w:val="00E34B93"/>
    <w:rsid w:val="00E356C5"/>
    <w:rsid w:val="00E358F6"/>
    <w:rsid w:val="00E360C9"/>
    <w:rsid w:val="00E3613F"/>
    <w:rsid w:val="00E36D49"/>
    <w:rsid w:val="00E3716B"/>
    <w:rsid w:val="00E371B3"/>
    <w:rsid w:val="00E40E02"/>
    <w:rsid w:val="00E45140"/>
    <w:rsid w:val="00E46A8D"/>
    <w:rsid w:val="00E475A9"/>
    <w:rsid w:val="00E510C0"/>
    <w:rsid w:val="00E517E5"/>
    <w:rsid w:val="00E5328F"/>
    <w:rsid w:val="00E54094"/>
    <w:rsid w:val="00E54B71"/>
    <w:rsid w:val="00E5565E"/>
    <w:rsid w:val="00E575ED"/>
    <w:rsid w:val="00E57635"/>
    <w:rsid w:val="00E623F3"/>
    <w:rsid w:val="00E633FA"/>
    <w:rsid w:val="00E67511"/>
    <w:rsid w:val="00E67E35"/>
    <w:rsid w:val="00E706D2"/>
    <w:rsid w:val="00E71C1D"/>
    <w:rsid w:val="00E73B8D"/>
    <w:rsid w:val="00E73D47"/>
    <w:rsid w:val="00E756FA"/>
    <w:rsid w:val="00E76665"/>
    <w:rsid w:val="00E80E02"/>
    <w:rsid w:val="00E822CC"/>
    <w:rsid w:val="00E82BF4"/>
    <w:rsid w:val="00E82C4E"/>
    <w:rsid w:val="00E85736"/>
    <w:rsid w:val="00E85A68"/>
    <w:rsid w:val="00E8641A"/>
    <w:rsid w:val="00E86FA8"/>
    <w:rsid w:val="00E87632"/>
    <w:rsid w:val="00E90226"/>
    <w:rsid w:val="00E91001"/>
    <w:rsid w:val="00E91EF0"/>
    <w:rsid w:val="00E931E5"/>
    <w:rsid w:val="00E931FF"/>
    <w:rsid w:val="00E93CDB"/>
    <w:rsid w:val="00E942E1"/>
    <w:rsid w:val="00E94B2A"/>
    <w:rsid w:val="00E96A35"/>
    <w:rsid w:val="00E96D47"/>
    <w:rsid w:val="00E96DDD"/>
    <w:rsid w:val="00E970EF"/>
    <w:rsid w:val="00EA1706"/>
    <w:rsid w:val="00EA19D7"/>
    <w:rsid w:val="00EA3E97"/>
    <w:rsid w:val="00EA4657"/>
    <w:rsid w:val="00EA5CE7"/>
    <w:rsid w:val="00EA63C1"/>
    <w:rsid w:val="00EA649E"/>
    <w:rsid w:val="00EB02EC"/>
    <w:rsid w:val="00EB2F48"/>
    <w:rsid w:val="00EB4F69"/>
    <w:rsid w:val="00EB5491"/>
    <w:rsid w:val="00EB74A2"/>
    <w:rsid w:val="00EB7FDE"/>
    <w:rsid w:val="00EC0353"/>
    <w:rsid w:val="00EC37A6"/>
    <w:rsid w:val="00EC3A29"/>
    <w:rsid w:val="00EC4C91"/>
    <w:rsid w:val="00EC53D2"/>
    <w:rsid w:val="00EC5E7B"/>
    <w:rsid w:val="00EC640C"/>
    <w:rsid w:val="00EC6CA2"/>
    <w:rsid w:val="00ED1659"/>
    <w:rsid w:val="00ED1E69"/>
    <w:rsid w:val="00ED2AD5"/>
    <w:rsid w:val="00ED3589"/>
    <w:rsid w:val="00ED3A9A"/>
    <w:rsid w:val="00ED6981"/>
    <w:rsid w:val="00EE2675"/>
    <w:rsid w:val="00EE2EAD"/>
    <w:rsid w:val="00EE456A"/>
    <w:rsid w:val="00EE4DAF"/>
    <w:rsid w:val="00EE500E"/>
    <w:rsid w:val="00EE5955"/>
    <w:rsid w:val="00EE7B2A"/>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982"/>
    <w:rsid w:val="00F23ABA"/>
    <w:rsid w:val="00F24C04"/>
    <w:rsid w:val="00F250B7"/>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11B"/>
    <w:rsid w:val="00F72454"/>
    <w:rsid w:val="00F72F5F"/>
    <w:rsid w:val="00F730F2"/>
    <w:rsid w:val="00F73C7D"/>
    <w:rsid w:val="00F75A39"/>
    <w:rsid w:val="00F7691D"/>
    <w:rsid w:val="00F76BEE"/>
    <w:rsid w:val="00F76C6F"/>
    <w:rsid w:val="00F76D35"/>
    <w:rsid w:val="00F77881"/>
    <w:rsid w:val="00F77E9B"/>
    <w:rsid w:val="00F8012B"/>
    <w:rsid w:val="00F810ED"/>
    <w:rsid w:val="00F816C4"/>
    <w:rsid w:val="00F84333"/>
    <w:rsid w:val="00F8489F"/>
    <w:rsid w:val="00F84A04"/>
    <w:rsid w:val="00F867EF"/>
    <w:rsid w:val="00F86AC9"/>
    <w:rsid w:val="00F86ECA"/>
    <w:rsid w:val="00F87D0D"/>
    <w:rsid w:val="00F87DD4"/>
    <w:rsid w:val="00F92EEE"/>
    <w:rsid w:val="00F959DE"/>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2DE"/>
    <w:rsid w:val="00FC5417"/>
    <w:rsid w:val="00FC56C3"/>
    <w:rsid w:val="00FC5AD8"/>
    <w:rsid w:val="00FC659B"/>
    <w:rsid w:val="00FC70AE"/>
    <w:rsid w:val="00FD04EA"/>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38B"/>
    <w:rsid w:val="00FF2D31"/>
    <w:rsid w:val="00FF2F7A"/>
    <w:rsid w:val="00FF36F9"/>
    <w:rsid w:val="00FF4F36"/>
    <w:rsid w:val="00FF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rsid w:val="00EC3A29"/>
    <w:pPr>
      <w:tabs>
        <w:tab w:val="center" w:pos="4153"/>
        <w:tab w:val="right" w:pos="8306"/>
      </w:tabs>
    </w:pPr>
  </w:style>
  <w:style w:type="character" w:customStyle="1" w:styleId="a6">
    <w:name w:val="Верхний колонтитул Знак"/>
    <w:basedOn w:val="a0"/>
    <w:link w:val="a5"/>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uiPriority w:val="99"/>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99"/>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qFormat/>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paragraph" w:customStyle="1" w:styleId="p2">
    <w:name w:val="p2"/>
    <w:basedOn w:val="a"/>
    <w:rsid w:val="00085BE6"/>
    <w:pPr>
      <w:spacing w:before="100" w:beforeAutospacing="1" w:after="100" w:afterAutospacing="1"/>
    </w:pPr>
    <w:rPr>
      <w:sz w:val="24"/>
    </w:rPr>
  </w:style>
  <w:style w:type="character" w:customStyle="1" w:styleId="markedcontent">
    <w:name w:val="markedcontent"/>
    <w:basedOn w:val="a0"/>
    <w:rsid w:val="00087F78"/>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E563FCFF6F603D0B7963D701B37BA74B40E54748864A65065568633E4DC41268CB924FE6CFD0A746E4B023CFEFC3EFC5317EE9A04EEBB2e3u2J" TargetMode="External"/><Relationship Id="rId5" Type="http://schemas.openxmlformats.org/officeDocument/2006/relationships/webSettings" Target="webSettings.xml"/><Relationship Id="rId10" Type="http://schemas.openxmlformats.org/officeDocument/2006/relationships/hyperlink" Target="consultantplus://offline/ref=2BE563FCFF6F603D0B7963D701B37BA74B40E54748864A65065568633E4DC41268CB924FE6CFD0A74BE4B023CFEFC3EFC5317EE9A04EEBB2e3u2J"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1044;&#1086;&#1082;&#1091;&#1084;&#1077;&#1085;&#1090;&#1099;\&#1086;&#1090;&#1095;&#1077;&#1090;&#1099;%20&#1086;%20&#1088;&#1072;&#1073;&#1086;&#1090;&#1077;%20&#1057;&#1055;\&#1086;&#1090;&#1095;&#1077;&#1090;&#1099;%20&#1079;&#1072;%20&#1075;&#1086;&#1076;\&#1076;&#1080;&#1072;&#1075;&#1088;&#1072;&#1084;&#1084;&#1099;%20&#1082;%20&#1086;&#1090;&#1095;&#1077;&#1090;&#10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44;&#1086;&#1082;&#1091;&#1084;&#1077;&#1085;&#1090;&#1099;\&#1086;&#1090;&#1095;&#1077;&#1090;&#1099;%20&#1086;%20&#1088;&#1072;&#1073;&#1086;&#1090;&#1077;%20&#1057;&#1055;\&#1086;&#1090;&#1095;&#1077;&#1090;&#1099;%20&#1079;&#1072;%20&#1075;&#1086;&#1076;\&#1076;&#1080;&#1072;&#1075;&#1088;&#1072;&#1084;&#1084;&#1099;%20&#1082;%20&#1086;&#1090;&#1095;&#1077;&#1090;&#10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34951881014832"/>
          <c:y val="4.2141294838145528E-2"/>
          <c:w val="0.60920603674540685"/>
          <c:h val="0.79822506561679785"/>
        </c:manualLayout>
      </c:layout>
      <c:lineChart>
        <c:grouping val="stacked"/>
        <c:ser>
          <c:idx val="0"/>
          <c:order val="0"/>
          <c:tx>
            <c:strRef>
              <c:f>Лист1!$A$2</c:f>
              <c:strCache>
                <c:ptCount val="1"/>
                <c:pt idx="0">
                  <c:v>контрольные мероприятия,ед</c:v>
                </c:pt>
              </c:strCache>
            </c:strRef>
          </c:tx>
          <c:dLbls>
            <c:dLbl>
              <c:idx val="0"/>
              <c:layout>
                <c:manualLayout>
                  <c:x val="-2.7777777777777964E-2"/>
                  <c:y val="-4.1666666666666671E-2"/>
                </c:manualLayout>
              </c:layout>
              <c:dLblPos val="r"/>
              <c:showVal val="1"/>
            </c:dLbl>
            <c:dLbl>
              <c:idx val="1"/>
              <c:layout>
                <c:manualLayout>
                  <c:x val="-3.0555555555555596E-2"/>
                  <c:y val="-6.0185185185185265E-2"/>
                </c:manualLayout>
              </c:layout>
              <c:dLblPos val="r"/>
              <c:showVal val="1"/>
            </c:dLbl>
            <c:dLbl>
              <c:idx val="2"/>
              <c:layout>
                <c:manualLayout>
                  <c:x val="-4.1666666666666671E-2"/>
                  <c:y val="-5.092592592592593E-2"/>
                </c:manualLayout>
              </c:layout>
              <c:dLblPos val="r"/>
              <c:showVal val="1"/>
            </c:dLbl>
            <c:dLbl>
              <c:idx val="3"/>
              <c:layout>
                <c:manualLayout>
                  <c:x val="-4.1666666666666671E-2"/>
                  <c:y val="-4.1666666666666671E-2"/>
                </c:manualLayout>
              </c:layout>
              <c:dLblPos val="r"/>
              <c:showVal val="1"/>
            </c:dLbl>
            <c:dLbl>
              <c:idx val="4"/>
              <c:layout>
                <c:manualLayout>
                  <c:x val="-3.888888888888889E-2"/>
                  <c:y val="-5.092592592592593E-2"/>
                </c:manualLayout>
              </c:layout>
              <c:dLblPos val="r"/>
              <c:showVal val="1"/>
            </c:dLbl>
            <c:txPr>
              <a:bodyPr/>
              <a:lstStyle/>
              <a:p>
                <a:pPr>
                  <a:defRPr sz="1000" b="0" i="0" u="none" strike="noStrike" baseline="0">
                    <a:solidFill>
                      <a:srgbClr val="000000"/>
                    </a:solidFill>
                    <a:latin typeface="Calibri"/>
                    <a:ea typeface="Calibri"/>
                    <a:cs typeface="Calibri"/>
                  </a:defRPr>
                </a:pPr>
                <a:endParaRPr lang="ru-RU"/>
              </a:p>
            </c:txPr>
            <c:showVal val="1"/>
          </c:dLbls>
          <c:cat>
            <c:numRef>
              <c:f>Лист1!$B$1:$D$1</c:f>
              <c:numCache>
                <c:formatCode>General</c:formatCode>
                <c:ptCount val="3"/>
                <c:pt idx="0">
                  <c:v>2020</c:v>
                </c:pt>
                <c:pt idx="1">
                  <c:v>2021</c:v>
                </c:pt>
                <c:pt idx="2">
                  <c:v>2022</c:v>
                </c:pt>
              </c:numCache>
            </c:numRef>
          </c:cat>
          <c:val>
            <c:numRef>
              <c:f>Лист1!$B$2:$D$2</c:f>
              <c:numCache>
                <c:formatCode>General</c:formatCode>
                <c:ptCount val="3"/>
                <c:pt idx="0">
                  <c:v>4</c:v>
                </c:pt>
                <c:pt idx="1">
                  <c:v>3</c:v>
                </c:pt>
                <c:pt idx="2">
                  <c:v>3</c:v>
                </c:pt>
              </c:numCache>
            </c:numRef>
          </c:val>
        </c:ser>
        <c:ser>
          <c:idx val="1"/>
          <c:order val="1"/>
          <c:tx>
            <c:strRef>
              <c:f>Лист1!$A$3</c:f>
              <c:strCache>
                <c:ptCount val="1"/>
                <c:pt idx="0">
                  <c:v>экспертно- аналитические мероприятия, ед</c:v>
                </c:pt>
              </c:strCache>
            </c:strRef>
          </c:tx>
          <c:dLbls>
            <c:dLbl>
              <c:idx val="0"/>
              <c:layout>
                <c:manualLayout>
                  <c:x val="-4.1666666666666671E-2"/>
                  <c:y val="-6.4814814814815075E-2"/>
                </c:manualLayout>
              </c:layout>
              <c:dLblPos val="r"/>
              <c:showVal val="1"/>
            </c:dLbl>
            <c:dLbl>
              <c:idx val="3"/>
              <c:layout>
                <c:manualLayout>
                  <c:x val="-3.0555555555555596E-2"/>
                  <c:y val="-5.5555555555555455E-2"/>
                </c:manualLayout>
              </c:layout>
              <c:dLblPos val="r"/>
              <c:showVal val="1"/>
            </c:dLbl>
            <c:dLbl>
              <c:idx val="4"/>
              <c:layout>
                <c:manualLayout>
                  <c:x val="-4.1666666666666671E-2"/>
                  <c:y val="-5.092592592592593E-2"/>
                </c:manualLayout>
              </c:layout>
              <c:dLblPos val="r"/>
              <c:showVal val="1"/>
            </c:dLbl>
            <c:txPr>
              <a:bodyPr/>
              <a:lstStyle/>
              <a:p>
                <a:pPr>
                  <a:defRPr sz="1000" b="0" i="0" u="none" strike="noStrike" baseline="0">
                    <a:solidFill>
                      <a:srgbClr val="000000"/>
                    </a:solidFill>
                    <a:latin typeface="Calibri"/>
                    <a:ea typeface="Calibri"/>
                    <a:cs typeface="Calibri"/>
                  </a:defRPr>
                </a:pPr>
                <a:endParaRPr lang="ru-RU"/>
              </a:p>
            </c:txPr>
            <c:showVal val="1"/>
          </c:dLbls>
          <c:cat>
            <c:numRef>
              <c:f>Лист1!$B$1:$D$1</c:f>
              <c:numCache>
                <c:formatCode>General</c:formatCode>
                <c:ptCount val="3"/>
                <c:pt idx="0">
                  <c:v>2020</c:v>
                </c:pt>
                <c:pt idx="1">
                  <c:v>2021</c:v>
                </c:pt>
                <c:pt idx="2">
                  <c:v>2022</c:v>
                </c:pt>
              </c:numCache>
            </c:numRef>
          </c:cat>
          <c:val>
            <c:numRef>
              <c:f>Лист1!$B$3:$D$3</c:f>
              <c:numCache>
                <c:formatCode>General</c:formatCode>
                <c:ptCount val="3"/>
                <c:pt idx="0">
                  <c:v>169</c:v>
                </c:pt>
                <c:pt idx="1">
                  <c:v>123</c:v>
                </c:pt>
                <c:pt idx="2">
                  <c:v>131</c:v>
                </c:pt>
              </c:numCache>
            </c:numRef>
          </c:val>
        </c:ser>
        <c:marker val="1"/>
        <c:axId val="140444032"/>
        <c:axId val="140445568"/>
      </c:lineChart>
      <c:catAx>
        <c:axId val="14044403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40445568"/>
        <c:crosses val="autoZero"/>
        <c:auto val="1"/>
        <c:lblAlgn val="ctr"/>
        <c:lblOffset val="100"/>
      </c:catAx>
      <c:valAx>
        <c:axId val="14044556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40444032"/>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Лист3!$B$1</c:f>
              <c:strCache>
                <c:ptCount val="1"/>
                <c:pt idx="0">
                  <c:v>2021</c:v>
                </c:pt>
              </c:strCache>
            </c:strRef>
          </c:tx>
          <c:dLbls>
            <c:showVal val="1"/>
          </c:dLbls>
          <c:cat>
            <c:strRef>
              <c:f>Лист3!$A$2:$A$6</c:f>
              <c:strCache>
                <c:ptCount val="5"/>
                <c:pt idx="0">
                  <c:v> Нарушения ведения бухгалтерского учета, составления и представления бухгалтерской (финансовой) отчетности</c:v>
                </c:pt>
                <c:pt idx="1">
                  <c:v> 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 ходе формирования  и исполнения бюджетов</c:v>
                </c:pt>
                <c:pt idx="4">
                  <c:v>иные нарушения</c:v>
                </c:pt>
              </c:strCache>
            </c:strRef>
          </c:cat>
          <c:val>
            <c:numRef>
              <c:f>Лист3!$B$2:$B$6</c:f>
              <c:numCache>
                <c:formatCode>General</c:formatCode>
                <c:ptCount val="5"/>
                <c:pt idx="0">
                  <c:v>12159.8</c:v>
                </c:pt>
                <c:pt idx="1">
                  <c:v>0</c:v>
                </c:pt>
                <c:pt idx="2">
                  <c:v>1804.8</c:v>
                </c:pt>
                <c:pt idx="3">
                  <c:v>1720.2</c:v>
                </c:pt>
                <c:pt idx="4">
                  <c:v>137.30000000000001</c:v>
                </c:pt>
              </c:numCache>
            </c:numRef>
          </c:val>
        </c:ser>
        <c:ser>
          <c:idx val="1"/>
          <c:order val="1"/>
          <c:tx>
            <c:strRef>
              <c:f>Лист3!$C$1</c:f>
              <c:strCache>
                <c:ptCount val="1"/>
                <c:pt idx="0">
                  <c:v>2022</c:v>
                </c:pt>
              </c:strCache>
            </c:strRef>
          </c:tx>
          <c:dLbls>
            <c:showVal val="1"/>
          </c:dLbls>
          <c:cat>
            <c:strRef>
              <c:f>Лист3!$A$2:$A$6</c:f>
              <c:strCache>
                <c:ptCount val="5"/>
                <c:pt idx="0">
                  <c:v> Нарушения ведения бухгалтерского учета, составления и представления бухгалтерской (финансовой) отчетности</c:v>
                </c:pt>
                <c:pt idx="1">
                  <c:v> 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 ходе формирования  и исполнения бюджетов</c:v>
                </c:pt>
                <c:pt idx="4">
                  <c:v>иные нарушения</c:v>
                </c:pt>
              </c:strCache>
            </c:strRef>
          </c:cat>
          <c:val>
            <c:numRef>
              <c:f>Лист3!$C$2:$C$6</c:f>
              <c:numCache>
                <c:formatCode>General</c:formatCode>
                <c:ptCount val="5"/>
                <c:pt idx="0">
                  <c:v>0</c:v>
                </c:pt>
                <c:pt idx="1">
                  <c:v>0</c:v>
                </c:pt>
                <c:pt idx="2">
                  <c:v>5.9</c:v>
                </c:pt>
                <c:pt idx="3">
                  <c:v>4306.6000000000004</c:v>
                </c:pt>
                <c:pt idx="4">
                  <c:v>0</c:v>
                </c:pt>
              </c:numCache>
            </c:numRef>
          </c:val>
        </c:ser>
        <c:dLbls>
          <c:showVal val="1"/>
        </c:dLbls>
        <c:overlap val="-25"/>
        <c:axId val="140458624"/>
        <c:axId val="140468608"/>
      </c:barChart>
      <c:catAx>
        <c:axId val="140458624"/>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40468608"/>
        <c:crosses val="autoZero"/>
        <c:auto val="1"/>
        <c:lblAlgn val="ctr"/>
        <c:lblOffset val="100"/>
      </c:catAx>
      <c:valAx>
        <c:axId val="140468608"/>
        <c:scaling>
          <c:orientation val="minMax"/>
        </c:scaling>
        <c:delete val="1"/>
        <c:axPos val="l"/>
        <c:numFmt formatCode="General" sourceLinked="1"/>
        <c:majorTickMark val="none"/>
        <c:tickLblPos val="nextTo"/>
        <c:crossAx val="140458624"/>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F55E2-A1A0-47DC-867D-C8437597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3141</Words>
  <Characters>17909</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Российская Федерация</vt:lpstr>
      <vt:lpstr>Новгородская область</vt:lpstr>
      <vt:lpstr>        </vt:lpstr>
      <vt:lpstr/>
      <vt:lpstr/>
      <vt:lpstr>Счётной палатой, как и в предыдущие года, заключено 4 Соглашения  о переда</vt:lpstr>
      <vt:lpstr>1) В 2021 году на реализацию общественно значимых проектов по благоустройству се</vt:lpstr>
      <vt:lpstr>В связи с изменениями законодательства о доступе к информации о деятельности гос</vt:lpstr>
      <vt:lpstr>В отчетном периоде, в целях выполнения задач информационно-аналитического обесп</vt:lpstr>
      <vt:lpstr/>
      <vt:lpstr>__________________________________</vt:lpstr>
      <vt:lpstr/>
      <vt:lpstr/>
      <vt:lpstr/>
      <vt:lpstr/>
    </vt:vector>
  </TitlesOfParts>
  <Company>AUZsoft</Company>
  <LinksUpToDate>false</LinksUpToDate>
  <CharactersWithSpaces>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3</cp:revision>
  <cp:lastPrinted>2022-11-01T05:50:00Z</cp:lastPrinted>
  <dcterms:created xsi:type="dcterms:W3CDTF">2023-01-31T06:56:00Z</dcterms:created>
  <dcterms:modified xsi:type="dcterms:W3CDTF">2023-01-31T06:57:00Z</dcterms:modified>
</cp:coreProperties>
</file>