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6" w:rsidRPr="002D6CA8" w:rsidRDefault="006A6EB6" w:rsidP="00F41A70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</w:pPr>
      <w:r w:rsidRPr="002D6C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В России </w:t>
      </w:r>
      <w:r w:rsidR="002D6CA8" w:rsidRPr="002D6C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установлены</w:t>
      </w:r>
      <w:r w:rsidRPr="002D6C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 xml:space="preserve"> новые правила компенсации добросовестным покупателям за утрату приобрет</w:t>
      </w:r>
      <w:r w:rsidR="009C194A" w:rsidRPr="002D6C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ё</w:t>
      </w:r>
      <w:r w:rsidRPr="002D6C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t>нного жилья</w:t>
      </w:r>
      <w:r w:rsidRPr="002D6CA8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ru-RU"/>
        </w:rPr>
        <w:br/>
      </w: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С 1 января 2020 года вступ</w:t>
      </w:r>
      <w:r w:rsidR="00D645C5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или 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в силу законодательные изменения, направленные на защиту </w:t>
      </w:r>
      <w:r w:rsidR="009C194A"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пострадавших</w:t>
      </w:r>
      <w:r w:rsidR="009C194A" w:rsidRPr="009C194A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9C194A"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покупателей недвижимости от действий мошенников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. Поправки уточняют понятие «добросовестный приобретатель недвижимого имущества» и одновременно совершенствуют механизм компенсации убытков, возникших в результате </w:t>
      </w:r>
      <w:r w:rsidR="009C194A"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незаконной 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сделки. Федеральная </w:t>
      </w:r>
      <w:r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К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адастровая пал</w:t>
      </w:r>
      <w:r w:rsidR="009C194A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ата разъяснила, в каких случаях 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добросовестный покупатель может рассчитывать на полную компенсацию причин</w:t>
      </w:r>
      <w:r w:rsidR="009C194A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ё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нного ущерба.</w:t>
      </w:r>
    </w:p>
    <w:p w:rsid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Кто такой добросовестный приобретатель</w:t>
      </w: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Согласно </w:t>
      </w:r>
      <w:hyperlink r:id="rId6" w:anchor="014477831229302973" w:history="1">
        <w:r w:rsidRPr="006A6EB6">
          <w:rPr>
            <w:rFonts w:asciiTheme="minorHAnsi" w:eastAsia="Times New Roman" w:hAnsiTheme="minorHAnsi" w:cs="Segoe UI"/>
            <w:color w:val="006FB8"/>
            <w:sz w:val="24"/>
            <w:szCs w:val="24"/>
            <w:u w:val="single"/>
            <w:lang w:eastAsia="ru-RU"/>
          </w:rPr>
          <w:t>поправкам</w:t>
        </w:r>
      </w:hyperlink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 в Гражданский кодекс РФ с 1 января 2020 года приобретатель недвижимого имущества, полагавшийся при заключении сделки на данные ЕГРН, получает статус добросовестного. 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И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считается 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таким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</w:t>
      </w:r>
    </w:p>
    <w:p w:rsid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Актуальные сведения об объекте недвижимо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го имущества можно получить только из ЕГРН.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Выписка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из 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Единого </w:t>
      </w:r>
      <w:proofErr w:type="spellStart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госреестра</w:t>
      </w:r>
      <w:proofErr w:type="spellEnd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недвижимости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позволяет еще до совершения сделки проверить представленные </w:t>
      </w:r>
      <w:proofErr w:type="gramStart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продавцом</w:t>
      </w:r>
      <w:proofErr w:type="gramEnd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данные об объекте, владельце, отсутствии или наличии обременений. Поэтому если право собственности перешло другому 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лицу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, сведения 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о нём, как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об актуальном правообладателе</w:t>
      </w:r>
      <w:r w:rsidR="009C19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,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будут отражены в 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запрошенном ещё до сделки документе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. Заказать выписки сведений ЕГРН об основных характеристиках объекта недвижимости и зарегистрированных на него правах, а также о переходе прав </w:t>
      </w:r>
      <w:proofErr w:type="gramStart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на</w:t>
      </w:r>
      <w:proofErr w:type="gramEnd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объект недвижимости может любое заинтересованное лицо через МФЦ или с помощью </w:t>
      </w:r>
      <w:hyperlink r:id="rId7" w:history="1">
        <w:r w:rsidR="00D959DC" w:rsidRPr="00D959DC">
          <w:rPr>
            <w:rStyle w:val="ad"/>
            <w:rFonts w:asciiTheme="minorHAnsi" w:eastAsia="Times New Roman" w:hAnsiTheme="minorHAnsi" w:cs="Segoe UI"/>
            <w:sz w:val="24"/>
            <w:szCs w:val="24"/>
            <w:lang w:eastAsia="ru-RU"/>
          </w:rPr>
          <w:t>онлайн-сервиса</w:t>
        </w:r>
      </w:hyperlink>
      <w:r w:rsidR="00D959DC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="00DD729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ф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едеральной </w:t>
      </w:r>
      <w:r w:rsidR="00DD729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К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адастровой палаты. 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Ра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зрешение владельца недвижимости на получение этих сведений не требуется.</w:t>
      </w:r>
    </w:p>
    <w:p w:rsidR="00DD7290" w:rsidRDefault="00DD7290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Выписка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и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з ЕГРН помогает потенциальному покупателю обезопасить себя до совершения сделки, а в случае истребования приобретенной недвижимости законным </w:t>
      </w:r>
      <w:r w:rsidR="00D959DC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собственником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по решению суда – компенсировать убытки, имея статус добросовестного приобретателя.</w:t>
      </w:r>
    </w:p>
    <w:p w:rsidR="00DD7290" w:rsidRDefault="00DD7290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Механизм выплаты компенсации</w:t>
      </w: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С 1 января 2020 года нач</w:t>
      </w:r>
      <w:r w:rsidR="00D645C5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али </w:t>
      </w:r>
      <w:bookmarkStart w:id="0" w:name="_GoBack"/>
      <w:bookmarkEnd w:id="0"/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действовать </w:t>
      </w:r>
      <w:hyperlink r:id="rId8" w:anchor="08338382812056919" w:history="1">
        <w:r w:rsidRPr="006A6EB6">
          <w:rPr>
            <w:rFonts w:asciiTheme="minorHAnsi" w:eastAsia="Times New Roman" w:hAnsiTheme="minorHAnsi" w:cs="Segoe UI"/>
            <w:color w:val="006FB8"/>
            <w:sz w:val="24"/>
            <w:szCs w:val="24"/>
            <w:u w:val="single"/>
            <w:lang w:eastAsia="ru-RU"/>
          </w:rPr>
          <w:t>правила</w:t>
        </w:r>
      </w:hyperlink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 выплаты денежной компенсации добросовестным покупателям за утрату жилого помещения. Механизм реализации компенсационных выплат закрепл</w:t>
      </w:r>
      <w:r w:rsidR="00D959DC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ё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н новыми положениями </w:t>
      </w:r>
      <w:r w:rsidR="00DD729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федерального закона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«О государственной регистрации недвижимости».</w:t>
      </w:r>
    </w:p>
    <w:p w:rsidR="00DD7290" w:rsidRDefault="00DD7290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 xml:space="preserve">«На рынке недвижимости возможны случаи, когда гражданин приобретает дом 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ничего не знал о </w:t>
      </w:r>
      <w:proofErr w:type="gramStart"/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>сделке</w:t>
      </w:r>
      <w:proofErr w:type="gramEnd"/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 xml:space="preserve"> и теперь требует возврата своего имущества», - 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комментирует 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эксперт Кадастровой палаты Надежда Лещенко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. Согласно </w:t>
      </w:r>
      <w:hyperlink r:id="rId9" w:history="1">
        <w:r w:rsidRPr="006A6EB6">
          <w:rPr>
            <w:rFonts w:asciiTheme="minorHAnsi" w:eastAsia="Times New Roman" w:hAnsiTheme="minorHAnsi" w:cs="Segoe UI"/>
            <w:color w:val="006FB8"/>
            <w:sz w:val="24"/>
            <w:szCs w:val="24"/>
            <w:u w:val="single"/>
            <w:lang w:eastAsia="ru-RU"/>
          </w:rPr>
          <w:t>ст. 301</w:t>
        </w:r>
      </w:hyperlink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 Гражданского кодекса РФ собственник вправе истребовать имущество из чужого незаконного владения, а значит, добросовестный покупатель рискует оказаться на улице.</w:t>
      </w:r>
    </w:p>
    <w:p w:rsidR="00DD7290" w:rsidRDefault="00DD7290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По новым правилам добросовестный приобретатель, лишившийся жилья, может требовать компенсацию за сч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ёт государства в следующ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их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случа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ях. </w:t>
      </w:r>
      <w:r w:rsidR="00D959DC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В первом - к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огда 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на основании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решени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я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суда с лиц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а, ответственного за причинение покупателю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ущерба в связи с  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истребованием жилого помещения, 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убытки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взысканы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в</w:t>
      </w:r>
      <w:r w:rsidR="009B2193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его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пользу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частично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, а не полностью</w:t>
      </w:r>
      <w:r w:rsidR="00D959DC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. Во второ</w:t>
      </w:r>
      <w:r w:rsidR="004C0682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м</w:t>
      </w:r>
      <w:r w:rsidR="00D959DC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-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если взыскание убытков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не производилось в течение шести месяцев со дня предъявления исполнительного документа к исполнению.</w:t>
      </w: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lastRenderedPageBreak/>
        <w:t xml:space="preserve">Предельный размер компенсационной суммы новыми правилами не устанавливается. 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Он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будет определяться судом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на основании суммы реальн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ого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ущерб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а</w:t>
      </w:r>
      <w:r w:rsidR="004C0682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. 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Или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по требованию самого добросовестного приобретателя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-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в размере кадастровой стоимости недвижимого имущества (действующей на дату вступления в силу судебного акта о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б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его истребовании</w:t>
      </w:r>
      <w:r w:rsidR="003031E0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 xml:space="preserve"> 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за вычетом сумм, возмещенных приобретателю третьим лицом).</w:t>
      </w:r>
    </w:p>
    <w:p w:rsidR="00DD7290" w:rsidRDefault="00DD7290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 xml:space="preserve">«Закон будет иметь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</w:t>
      </w:r>
      <w:r w:rsidR="004C0682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>Граждане смогут в</w:t>
      </w:r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 xml:space="preserve"> течение тр</w:t>
      </w:r>
      <w:r w:rsidR="003031E0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>ё</w:t>
      </w:r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>х лет со дня вступления в силу новых правил</w:t>
      </w:r>
      <w:r w:rsidR="004C0682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Pr="006A6EB6">
        <w:rPr>
          <w:rFonts w:asciiTheme="minorHAnsi" w:eastAsia="Times New Roman" w:hAnsiTheme="minorHAnsi" w:cs="Segoe UI"/>
          <w:i/>
          <w:iCs/>
          <w:color w:val="000000"/>
          <w:sz w:val="24"/>
          <w:szCs w:val="24"/>
          <w:lang w:eastAsia="ru-RU"/>
        </w:rPr>
        <w:t>обратиться в суд с иском о выплате компенсации»,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 - отмечает </w:t>
      </w:r>
      <w:r w:rsidR="003031E0"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 xml:space="preserve">эксперт Кадастровой палаты </w:t>
      </w:r>
      <w:r w:rsidRPr="006A6EB6">
        <w:rPr>
          <w:rFonts w:asciiTheme="minorHAnsi" w:eastAsia="Times New Roman" w:hAnsiTheme="minorHAnsi" w:cs="Segoe UI"/>
          <w:b/>
          <w:bCs/>
          <w:color w:val="000000"/>
          <w:sz w:val="24"/>
          <w:szCs w:val="24"/>
          <w:lang w:eastAsia="ru-RU"/>
        </w:rPr>
        <w:t>Надежда Лещенко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.</w:t>
      </w:r>
    </w:p>
    <w:p w:rsidR="00DD7290" w:rsidRDefault="00DD7290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</w:pPr>
    </w:p>
    <w:p w:rsidR="006A6EB6" w:rsidRPr="006A6EB6" w:rsidRDefault="006A6EB6" w:rsidP="00F41A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777777"/>
          <w:sz w:val="24"/>
          <w:szCs w:val="24"/>
          <w:lang w:eastAsia="ru-RU"/>
        </w:rPr>
      </w:pP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При выплате компенсации со стороны государства органы власти также получат право в дальнейшем предъявить регрессный иск недобросовестному продавцу для возмещения причин</w:t>
      </w:r>
      <w:r w:rsidR="0037374A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ё</w:t>
      </w:r>
      <w:r w:rsidRPr="006A6EB6">
        <w:rPr>
          <w:rFonts w:asciiTheme="minorHAnsi" w:eastAsia="Times New Roman" w:hAnsiTheme="minorHAnsi" w:cs="Segoe UI"/>
          <w:color w:val="000000"/>
          <w:sz w:val="24"/>
          <w:szCs w:val="24"/>
          <w:lang w:eastAsia="ru-RU"/>
        </w:rPr>
        <w:t>нных убытков.</w:t>
      </w:r>
    </w:p>
    <w:p w:rsidR="0031352C" w:rsidRPr="00866928" w:rsidRDefault="006A6EB6" w:rsidP="00CF60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Style w:val="js-phone-number"/>
          <w:color w:val="000000" w:themeColor="text1"/>
          <w:sz w:val="24"/>
          <w:szCs w:val="24"/>
        </w:rPr>
        <w:t xml:space="preserve"> </w:t>
      </w:r>
    </w:p>
    <w:sectPr w:rsidR="0031352C" w:rsidRPr="00866928" w:rsidSect="00DD72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2EB"/>
    <w:multiLevelType w:val="multilevel"/>
    <w:tmpl w:val="E69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9"/>
    <w:rsid w:val="00013A9D"/>
    <w:rsid w:val="00060F89"/>
    <w:rsid w:val="0008258F"/>
    <w:rsid w:val="001505F4"/>
    <w:rsid w:val="001E5ED4"/>
    <w:rsid w:val="001E6FAF"/>
    <w:rsid w:val="002154F6"/>
    <w:rsid w:val="00275DC3"/>
    <w:rsid w:val="002945A7"/>
    <w:rsid w:val="002D6BD9"/>
    <w:rsid w:val="002D6CA8"/>
    <w:rsid w:val="003031E0"/>
    <w:rsid w:val="0031352C"/>
    <w:rsid w:val="00316876"/>
    <w:rsid w:val="00321077"/>
    <w:rsid w:val="0035551F"/>
    <w:rsid w:val="0037374A"/>
    <w:rsid w:val="003B0DC6"/>
    <w:rsid w:val="003D22E6"/>
    <w:rsid w:val="004B77A7"/>
    <w:rsid w:val="004C0682"/>
    <w:rsid w:val="004C28F8"/>
    <w:rsid w:val="004C7D46"/>
    <w:rsid w:val="004D10F6"/>
    <w:rsid w:val="00510EDC"/>
    <w:rsid w:val="00517380"/>
    <w:rsid w:val="00552DA1"/>
    <w:rsid w:val="00576E90"/>
    <w:rsid w:val="00634620"/>
    <w:rsid w:val="006A5876"/>
    <w:rsid w:val="006A6EB6"/>
    <w:rsid w:val="006E472F"/>
    <w:rsid w:val="00710875"/>
    <w:rsid w:val="007601E7"/>
    <w:rsid w:val="00760E17"/>
    <w:rsid w:val="007A41AA"/>
    <w:rsid w:val="007D70C2"/>
    <w:rsid w:val="007E05F8"/>
    <w:rsid w:val="007E0832"/>
    <w:rsid w:val="00853A30"/>
    <w:rsid w:val="008571AF"/>
    <w:rsid w:val="00866928"/>
    <w:rsid w:val="00877A05"/>
    <w:rsid w:val="008B0960"/>
    <w:rsid w:val="008D408C"/>
    <w:rsid w:val="008F5053"/>
    <w:rsid w:val="0090383B"/>
    <w:rsid w:val="00933F98"/>
    <w:rsid w:val="00963625"/>
    <w:rsid w:val="00996173"/>
    <w:rsid w:val="009A21EF"/>
    <w:rsid w:val="009B2193"/>
    <w:rsid w:val="009C194A"/>
    <w:rsid w:val="00B81B2D"/>
    <w:rsid w:val="00B9538D"/>
    <w:rsid w:val="00BF0DF7"/>
    <w:rsid w:val="00C37ACF"/>
    <w:rsid w:val="00CA3157"/>
    <w:rsid w:val="00CF60BC"/>
    <w:rsid w:val="00D22564"/>
    <w:rsid w:val="00D64395"/>
    <w:rsid w:val="00D645C5"/>
    <w:rsid w:val="00D90886"/>
    <w:rsid w:val="00D959DC"/>
    <w:rsid w:val="00DD7290"/>
    <w:rsid w:val="00E023F0"/>
    <w:rsid w:val="00E1595D"/>
    <w:rsid w:val="00E53699"/>
    <w:rsid w:val="00E90AF5"/>
    <w:rsid w:val="00F41A70"/>
    <w:rsid w:val="00F550D3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6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66928"/>
  </w:style>
  <w:style w:type="character" w:styleId="ad">
    <w:name w:val="Hyperlink"/>
    <w:basedOn w:val="a0"/>
    <w:uiPriority w:val="99"/>
    <w:unhideWhenUsed/>
    <w:rsid w:val="00D95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6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66928"/>
  </w:style>
  <w:style w:type="character" w:styleId="ad">
    <w:name w:val="Hyperlink"/>
    <w:basedOn w:val="a0"/>
    <w:uiPriority w:val="99"/>
    <w:unhideWhenUsed/>
    <w:rsid w:val="00D9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58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99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30668&amp;fld=134&amp;dst=1000000001,0&amp;rnd=0.66294752061141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1\Desktop\&#1103;&#1085;&#1074;&#1072;&#1088;&#1100;%202020\spv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b2a84889a81c92096e09bef00d500570aba6cd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2020-01-10T10:34:00Z</dcterms:created>
  <dcterms:modified xsi:type="dcterms:W3CDTF">2020-01-10T10:34:00Z</dcterms:modified>
</cp:coreProperties>
</file>