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AA" w:rsidRDefault="00FC3D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DAA" w:rsidRDefault="00FC3DAA">
      <w:pPr>
        <w:pStyle w:val="ConsPlusNormal"/>
        <w:jc w:val="both"/>
        <w:outlineLvl w:val="0"/>
      </w:pPr>
    </w:p>
    <w:p w:rsidR="00FC3DAA" w:rsidRDefault="00FC3DAA">
      <w:pPr>
        <w:pStyle w:val="ConsPlusTitle"/>
        <w:jc w:val="center"/>
        <w:outlineLvl w:val="0"/>
      </w:pPr>
      <w:r>
        <w:t>МИНИСТЕРСТВО ПРОМЫШЛЕННОСТИ И ТОРГОВЛИ НОВГОРОДСКОЙ ОБЛАСТИ</w:t>
      </w:r>
    </w:p>
    <w:p w:rsidR="00FC3DAA" w:rsidRDefault="00FC3DAA">
      <w:pPr>
        <w:pStyle w:val="ConsPlusTitle"/>
        <w:jc w:val="center"/>
      </w:pPr>
    </w:p>
    <w:p w:rsidR="00FC3DAA" w:rsidRDefault="00FC3DAA">
      <w:pPr>
        <w:pStyle w:val="ConsPlusTitle"/>
        <w:jc w:val="center"/>
      </w:pPr>
      <w:r>
        <w:t>ПОСТАНОВЛЕНИЕ</w:t>
      </w:r>
    </w:p>
    <w:p w:rsidR="00FC3DAA" w:rsidRDefault="00FC3DAA">
      <w:pPr>
        <w:pStyle w:val="ConsPlusTitle"/>
        <w:jc w:val="center"/>
      </w:pPr>
      <w:r>
        <w:t>от 29 ноября 2019 г. N 5</w:t>
      </w:r>
    </w:p>
    <w:p w:rsidR="00FC3DAA" w:rsidRDefault="00FC3DAA">
      <w:pPr>
        <w:pStyle w:val="ConsPlusTitle"/>
        <w:jc w:val="center"/>
      </w:pPr>
    </w:p>
    <w:p w:rsidR="00FC3DAA" w:rsidRDefault="00FC3DAA">
      <w:pPr>
        <w:pStyle w:val="ConsPlusTitle"/>
        <w:jc w:val="center"/>
      </w:pPr>
      <w:r>
        <w:t>ОБ УСТАНОВЛЕНИИ ПОРЯДКА РАЗРАБОТКИ И УТВЕРЖДЕНИЯ</w:t>
      </w:r>
    </w:p>
    <w:p w:rsidR="00FC3DAA" w:rsidRDefault="00FC3DAA">
      <w:pPr>
        <w:pStyle w:val="ConsPlusTitle"/>
        <w:jc w:val="center"/>
      </w:pPr>
      <w:r>
        <w:t>СХЕМЫ РАЗМЕЩЕНИЯ НЕСТАЦИОНАРНЫХ ТОРГОВЫХ ОБЪЕКТОВ</w:t>
      </w:r>
    </w:p>
    <w:p w:rsidR="00FC3DAA" w:rsidRDefault="00FC3DAA">
      <w:pPr>
        <w:pStyle w:val="ConsPlusTitle"/>
        <w:jc w:val="center"/>
      </w:pPr>
      <w:r>
        <w:t>НА ЗЕМЕЛЬНЫХ УЧАСТКАХ, В ЗДАНИЯХ, СТРОЕНИЯХ,</w:t>
      </w:r>
    </w:p>
    <w:p w:rsidR="00FC3DAA" w:rsidRDefault="00FC3DAA">
      <w:pPr>
        <w:pStyle w:val="ConsPlusTitle"/>
        <w:jc w:val="center"/>
      </w:pPr>
      <w:r>
        <w:t xml:space="preserve">СООРУЖЕНИЯХ, НАХОДЯЩИХСЯ В </w:t>
      </w:r>
      <w:proofErr w:type="gramStart"/>
      <w:r>
        <w:t>ГОСУДАРСТВЕННОЙ</w:t>
      </w:r>
      <w:proofErr w:type="gramEnd"/>
    </w:p>
    <w:p w:rsidR="00FC3DAA" w:rsidRDefault="00FC3DAA">
      <w:pPr>
        <w:pStyle w:val="ConsPlusTitle"/>
        <w:jc w:val="center"/>
      </w:pPr>
      <w:r>
        <w:t>СОБСТВЕННОСТИ ИЛИ МУНИЦИПАЛЬНОЙ СОБСТВЕННОСТИ</w:t>
      </w:r>
    </w:p>
    <w:p w:rsidR="00FC3DAA" w:rsidRDefault="00FC3D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D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DAA" w:rsidRDefault="00FC3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DAA" w:rsidRDefault="00FC3D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промышленности и торговли</w:t>
            </w:r>
            <w:proofErr w:type="gramEnd"/>
          </w:p>
          <w:p w:rsidR="00FC3DAA" w:rsidRDefault="00FC3DAA">
            <w:pPr>
              <w:pStyle w:val="ConsPlusNormal"/>
              <w:jc w:val="center"/>
            </w:pPr>
            <w:r>
              <w:rPr>
                <w:color w:val="392C69"/>
              </w:rPr>
              <w:t>Новгородской области от 26.03.2021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</w:tr>
    </w:tbl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2009 года N 381-ФЗ "Об основах государственного регулирования торговой деятельности в Российской Федерации", постановлениями Правительства Российской Федерации от 29 сентября 2010 года </w:t>
      </w:r>
      <w:hyperlink r:id="rId7" w:history="1">
        <w:r>
          <w:rPr>
            <w:color w:val="0000FF"/>
          </w:rPr>
          <w:t>N 772</w:t>
        </w:r>
      </w:hyperlink>
      <w:r>
        <w:t xml:space="preserve">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proofErr w:type="gramEnd"/>
      <w:r>
        <w:t xml:space="preserve">", </w:t>
      </w:r>
      <w:proofErr w:type="gramStart"/>
      <w:r>
        <w:t xml:space="preserve">от 9 апреля 2016 года </w:t>
      </w:r>
      <w:hyperlink r:id="rId8" w:history="1">
        <w:r>
          <w:rPr>
            <w:color w:val="0000FF"/>
          </w:rPr>
          <w:t>N 291</w:t>
        </w:r>
      </w:hyperlink>
      <w:r>
        <w:t xml:space="preserve"> "Об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года N 754",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промышленности и торговли Новгородской области, утвержденным постановлением Правительства Новгородской</w:t>
      </w:r>
      <w:proofErr w:type="gramEnd"/>
      <w:r>
        <w:t xml:space="preserve"> области от 21.12.2017 N 458, а также в целях определения требований к разработке и утверждению схем размещения нестационарных торговых объектов, министерство промышленности и торговли Новгородской области постановляет: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Новгородской области, определенным в соответствии с уставами муниципальных образований Новгородской области: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2.1. Организовать работу по приведению схем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на территории Новгородской области, в соответствие с настоящим постановлением в срок до 1 сентября 2021 года;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Опубликовать схему размещения нестационарных торговых объектов, в том числе вносимые в нее изменения, в течение семи дней со дня утверждения в порядке, установленном для официального опубликования муниципальных правовых актов, а также разместить на официальных сайтах министерства промышленности и торговли Новгородской области и органов местного самоуправления Новгородской области в информационно-телекоммуникационной сети "Интернет".</w:t>
      </w:r>
      <w:proofErr w:type="gramEnd"/>
    </w:p>
    <w:p w:rsidR="00FC3DAA" w:rsidRDefault="00FC3DAA">
      <w:pPr>
        <w:pStyle w:val="ConsPlusNormal"/>
        <w:jc w:val="both"/>
      </w:pPr>
      <w:r>
        <w:lastRenderedPageBreak/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3. Считать утратившим силу постановление комитета промышленности и торговли Новгородской области от 01.06.2017 N 10 "О порядке разработки и утверждения схем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Новгородской области.</w:t>
      </w:r>
    </w:p>
    <w:p w:rsidR="00FC3DAA" w:rsidRDefault="00FC3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директора департамента торговли и лицензирования министерства промышленности и торговли Новгородской области Позднякову Н.М.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5. Разместить настоящее постановление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Настоящее постановление вступает в силу по истечении 10 дней со дня его размещения на "Официальном Интернет-портале правовой информации" (www.pravo.gov.ru).</w:t>
      </w:r>
      <w:proofErr w:type="gramEnd"/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right"/>
      </w:pPr>
      <w:r>
        <w:t>И.о. министра</w:t>
      </w:r>
    </w:p>
    <w:p w:rsidR="00FC3DAA" w:rsidRDefault="00FC3DAA">
      <w:pPr>
        <w:pStyle w:val="ConsPlusNormal"/>
        <w:jc w:val="right"/>
      </w:pPr>
      <w:r>
        <w:t>И.В.ЧЕКМАРЕВ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right"/>
        <w:outlineLvl w:val="0"/>
      </w:pPr>
      <w:r>
        <w:t>Утвержден</w:t>
      </w:r>
    </w:p>
    <w:p w:rsidR="00FC3DAA" w:rsidRDefault="00FC3DAA">
      <w:pPr>
        <w:pStyle w:val="ConsPlusNormal"/>
        <w:jc w:val="right"/>
      </w:pPr>
      <w:r>
        <w:t>постановлением</w:t>
      </w:r>
    </w:p>
    <w:p w:rsidR="00FC3DAA" w:rsidRDefault="00FC3DAA">
      <w:pPr>
        <w:pStyle w:val="ConsPlusNormal"/>
        <w:jc w:val="right"/>
      </w:pPr>
      <w:r>
        <w:t>министерства промышленности</w:t>
      </w:r>
    </w:p>
    <w:p w:rsidR="00FC3DAA" w:rsidRDefault="00FC3DAA">
      <w:pPr>
        <w:pStyle w:val="ConsPlusNormal"/>
        <w:jc w:val="right"/>
      </w:pPr>
      <w:r>
        <w:t>и торговли Новгородской области</w:t>
      </w:r>
    </w:p>
    <w:p w:rsidR="00FC3DAA" w:rsidRDefault="00FC3DAA">
      <w:pPr>
        <w:pStyle w:val="ConsPlusNormal"/>
        <w:jc w:val="right"/>
      </w:pPr>
      <w:r>
        <w:t>от 29.11.2019 N 5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Title"/>
        <w:jc w:val="center"/>
      </w:pPr>
      <w:bookmarkStart w:id="0" w:name="P40"/>
      <w:bookmarkEnd w:id="0"/>
      <w:r>
        <w:t>ПОРЯДОК</w:t>
      </w:r>
    </w:p>
    <w:p w:rsidR="00FC3DAA" w:rsidRDefault="00FC3DAA">
      <w:pPr>
        <w:pStyle w:val="ConsPlusTitle"/>
        <w:jc w:val="center"/>
      </w:pPr>
      <w:r>
        <w:t xml:space="preserve">РАЗРАБОТКИ И УТВЕРЖДЕНИЯ СХЕМЫ РАЗМЕЩЕНИЯ </w:t>
      </w:r>
      <w:proofErr w:type="gramStart"/>
      <w:r>
        <w:t>НЕСТАЦИОНАРНЫХ</w:t>
      </w:r>
      <w:proofErr w:type="gramEnd"/>
    </w:p>
    <w:p w:rsidR="00FC3DAA" w:rsidRDefault="00FC3DAA">
      <w:pPr>
        <w:pStyle w:val="ConsPlusTitle"/>
        <w:jc w:val="center"/>
      </w:pPr>
      <w:r>
        <w:t>ТОРГОВЫХ ОБЪЕКТОВ НА ЗЕМЕЛЬНЫХ УЧАСТКАХ, В ЗДАНИЯХ,</w:t>
      </w:r>
    </w:p>
    <w:p w:rsidR="00FC3DAA" w:rsidRDefault="00FC3DAA">
      <w:pPr>
        <w:pStyle w:val="ConsPlusTitle"/>
        <w:jc w:val="center"/>
      </w:pPr>
      <w:r>
        <w:t xml:space="preserve">СТРОЕНИЯХ, СООРУЖЕНИЯХ, НАХОДЯЩИХСЯ В </w:t>
      </w:r>
      <w:proofErr w:type="gramStart"/>
      <w:r>
        <w:t>ГОСУДАРСТВЕННОЙ</w:t>
      </w:r>
      <w:proofErr w:type="gramEnd"/>
    </w:p>
    <w:p w:rsidR="00FC3DAA" w:rsidRDefault="00FC3DAA">
      <w:pPr>
        <w:pStyle w:val="ConsPlusTitle"/>
        <w:jc w:val="center"/>
      </w:pPr>
      <w:r>
        <w:t>СОБСТВЕННОСТИ ИЛИ МУНИЦИПАЛЬНОЙ СОБСТВЕННОСТИ</w:t>
      </w:r>
    </w:p>
    <w:p w:rsidR="00FC3DAA" w:rsidRDefault="00FC3D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D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DAA" w:rsidRDefault="00FC3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DAA" w:rsidRDefault="00FC3D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промышленности и торговли</w:t>
            </w:r>
            <w:proofErr w:type="gramEnd"/>
          </w:p>
          <w:p w:rsidR="00FC3DAA" w:rsidRDefault="00FC3DAA">
            <w:pPr>
              <w:pStyle w:val="ConsPlusNormal"/>
              <w:jc w:val="center"/>
            </w:pPr>
            <w:r>
              <w:rPr>
                <w:color w:val="392C69"/>
              </w:rPr>
              <w:t>Новгородской области от 26.03.2021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</w:tr>
    </w:tbl>
    <w:p w:rsidR="00FC3DAA" w:rsidRDefault="00FC3DAA">
      <w:pPr>
        <w:pStyle w:val="ConsPlusNormal"/>
        <w:jc w:val="both"/>
      </w:pPr>
    </w:p>
    <w:p w:rsidR="00FC3DAA" w:rsidRDefault="00FC3DAA">
      <w:pPr>
        <w:pStyle w:val="ConsPlusTitle"/>
        <w:jc w:val="center"/>
        <w:outlineLvl w:val="1"/>
      </w:pPr>
      <w:r>
        <w:t>1. ОБЩИЕ ПОЛОЖЕНИЯ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разработан с учетом рекомендаций Министерства промышленности и торговли Российской Федерации (</w:t>
      </w:r>
      <w:hyperlink r:id="rId13" w:history="1">
        <w:r>
          <w:rPr>
            <w:color w:val="0000FF"/>
          </w:rPr>
          <w:t>письмо</w:t>
        </w:r>
      </w:hyperlink>
      <w:r>
        <w:t xml:space="preserve"> от 27 января 2014 года N ЕВ-820/08, </w:t>
      </w:r>
      <w:hyperlink r:id="rId14" w:history="1">
        <w:r>
          <w:rPr>
            <w:color w:val="0000FF"/>
          </w:rPr>
          <w:t>письмо</w:t>
        </w:r>
      </w:hyperlink>
      <w:r>
        <w:t xml:space="preserve"> от 23 марта 2015 года N ЕВ-5999/08) с целью формирования единых правил размещения нестационарных торговых объектов на территории Новгородской области и определяет процедуру разработки и утверждения схем размещения нестационарных торговых объектов на земельных участках, в зданиях, строениях</w:t>
      </w:r>
      <w:proofErr w:type="gramEnd"/>
      <w:r>
        <w:t xml:space="preserve">, </w:t>
      </w:r>
      <w:proofErr w:type="gramStart"/>
      <w:r>
        <w:t>сооружениях</w:t>
      </w:r>
      <w:proofErr w:type="gramEnd"/>
      <w:r>
        <w:t>, находящихся в государственной собственности или муниципальной собственности.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 xml:space="preserve">1.2. </w:t>
      </w:r>
      <w:proofErr w:type="gramStart"/>
      <w:r>
        <w:t>Требования, предусмотренные настоящим Порядком, распространяются на разработку, в том числе согласование, и утверждение, а также внесение изменений и дополнений в схему размещения нестационарных торговых объектов на земельных участках, находящихся в государственной собственности, собственности Новгородской области, муниципальной собственности, а также на земельных участках, собственность на которые не разграничена, в зданиях, строениях, сооружениях, находящихся в государственной собственности или муниципальной собственности.</w:t>
      </w:r>
      <w:proofErr w:type="gramEnd"/>
    </w:p>
    <w:p w:rsidR="00FC3DAA" w:rsidRDefault="00FC3DAA">
      <w:pPr>
        <w:pStyle w:val="ConsPlusNormal"/>
        <w:spacing w:before="220"/>
        <w:ind w:firstLine="540"/>
        <w:jc w:val="both"/>
      </w:pPr>
      <w:r>
        <w:t>Требования настоящего Порядка не распространяются на отношения, связанные с размещением нестационарных торговых объектов: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находящихся на территориях розничных рынков;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при проведении ярмарок, имеющих временный характер, выставок-ярмарок;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находящихся в стационарных торговых объектах, в иных зданиях, строениях, сооружениях или на земельных участках, в частной собственности.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1.3. Разработка схемы размещения нестационарных торговых объектов осуществляется в следующих целях: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1) удовлетворение потребности населения в доступности продовольственных и непродовольственных товаров (услуг) малыми форматами розничной торговли;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2) достижение и последующее соблюдение установленных нормативов минимальной обеспеченности населения Новгородской области площадью нестационарных торговых объектов;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3) соблюдение прав и законных интересов населения по обеспечению требований безопасности при размещении нестационарных торговых объектов на территориях муниципальных образований Новгородской области, в соответствии с требованиями действующего законодательства;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4) обеспечение единства требований к размещению нестационарных торговых объектов в муниципальных образованиях, расположенных на территории Новгородской области;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5) соблюдение прав и законных интересов субъектов предпринимательской деятельности, осуществляющих торговую деятельность, при разработке схемы размещения нестационарных торговых объектов, внесении в нее изменений по инициативе органов местного самоуправления Новгородской области, включая применение компенсационных механизмов;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6) формирование многоформатной торговой инфраструктуры с учетом видов и типов торговых объектов, форм и способов торговли.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1.4. Для целей настоящего Порядка используются следующие понятия: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предусмотренные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51303-2013 "Торговля. Термины и определения";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нестационарный торговый объект (далее НТО) - торговый объект, представляющий собой </w:t>
      </w:r>
      <w:r>
        <w:lastRenderedPageBreak/>
        <w:t>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схема размещения нестационарных торговых объектов (далее Схема) - схема, определяющая места размещения НТО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хозяйствующий субъект, осуществляющий торговую деятельность - юридическое лицо, индивидуальный предприниматель, крестьянское (фермерское) хозяйство, физическое лицо, зарегистрированное в качестве плательщика налога на профессиональный доход, и осуществляющее приносящую доход деятельность в сфере торговли, общественного питания, оказания бытовых услуг, или гражданин, ведущий личное подсобное хозяйство, в соответствии с законодательством Российской Федерации.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К НТО, включаемым в Схему, относятся: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1) НТО постоянного размещения: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киоск - НТО, представляющий собой сооружение без торгового зала с замкнутым пространством, внутри которого оборудовано одно рабочее место и осуществляется хранение товарного запаса;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остановочный комплекс - оснащенное торговым оборудованием нестационарное сооружение (киоск или павильон), объединенное с остановочным навесом;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торговый автомат (вендинговый автомат) - НТО,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торговая галерея - НТО, выполненный в едином архитектурном стиле, состоящий из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кровлей;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торговый павильон - НТО,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(павильон может иметь помещения для хранения товарного запаса);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торговая палатка - НТО,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предназначенную для размещения одного или нескольких рабочих мест продавцов и товарного запаса на один день торговли;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2) НТО временного размещения: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бахчевой развал - НТО, представляющий собой специально оборудованную временную конструкцию в виде обособленной открытой или закрытой площадки или установленной торговой палатки, предназначенный для продажи сезонных бахчевых культур;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елочный базар - НТО, представляющий собой специально оборудованную временную </w:t>
      </w:r>
      <w:r>
        <w:lastRenderedPageBreak/>
        <w:t>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3) передвижные (мобильные) НТО: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автомагазин (торговый автофургон, автолавка) - НТО,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>
        <w:t>м(</w:t>
      </w:r>
      <w:proofErr w:type="gramEnd"/>
      <w:r>
        <w:t>ых) осуществляют предложение товаров, их отпуск и расчет с покупателями;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мобильный пункт быстрого питания - передвижное сооружение,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торговый лоток - передвижной торговый объект, осуществляющий разносную торговлю, не имеющий торгового зала и помещений для хранения товаров, представляющий собой легко возводимую сборно-разборную конструкцию, оснащенную прилавком, рассчитанную на одно рабочее место продавца, на площади, которой размещен товарный запас на один день;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торговая тележка - НТО, представляющее собой оснащенную колесным механизмом конструкцию на одно рабочее место и предназначенное для перемещения и продажи штучных товаров в потребительской упаковке.</w:t>
      </w:r>
    </w:p>
    <w:p w:rsidR="00FC3DAA" w:rsidRDefault="00FC3DAA">
      <w:pPr>
        <w:pStyle w:val="ConsPlusNormal"/>
        <w:jc w:val="both"/>
      </w:pPr>
      <w:r>
        <w:t xml:space="preserve">(п. 1.4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1.5. Общие понятия в настоящем Порядке: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если действующим законодательством не предусмотрено иное;</w:t>
      </w:r>
    </w:p>
    <w:p w:rsidR="00FC3DAA" w:rsidRDefault="00FC3DAA">
      <w:pPr>
        <w:pStyle w:val="ConsPlusNormal"/>
        <w:spacing w:before="220"/>
        <w:ind w:firstLine="540"/>
        <w:jc w:val="both"/>
      </w:pPr>
      <w:proofErr w:type="gramStart"/>
      <w:r>
        <w:t>сезонное предприятие (объект) общественного питания - имущественный комплекс, используемый юридическим лицом или индивидуальным предпринимателем сезонно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услуг;</w:t>
      </w:r>
      <w:proofErr w:type="gramEnd"/>
    </w:p>
    <w:p w:rsidR="00FC3DAA" w:rsidRDefault="00FC3DAA">
      <w:pPr>
        <w:pStyle w:val="ConsPlusNormal"/>
        <w:spacing w:before="220"/>
        <w:ind w:firstLine="540"/>
        <w:jc w:val="both"/>
      </w:pPr>
      <w:r>
        <w:t>перспективное место размещения НТО - место размещения НТО, определенное в целях восполнения недостатка оказания услуг розничной торговли, общественного питания и бытовых услуг, удовлетворения потребности населения в доступности данных услуг;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компенсационное место размещения НТО - альтернативное место размещения НТО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показателям).</w:t>
      </w:r>
    </w:p>
    <w:p w:rsidR="00FC3DAA" w:rsidRDefault="00FC3DAA">
      <w:pPr>
        <w:pStyle w:val="ConsPlusNormal"/>
        <w:jc w:val="both"/>
      </w:pPr>
      <w:r>
        <w:t xml:space="preserve">(п. 1.5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>1.6. Схема разрабатывается органами местного самоуправления муниципальных образований Новгородской области, определенными в соответствии с уставами муниципальных образований (далее органы местного самоуправления) в соответствии с архитектурными, градостроительными, строительными, пожарными, санитарными и экологическими нормами и правилами, правилами продажи отдельных видов товаров, проектами планировки и благоустройства территории муниципального образования Новгородской области.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При разработке Схем органы местного самоуправления вправе рассмотреть предложения, поступившие от населения и хозяйствующих субъектов, осуществляющих торговую деятельность.</w:t>
      </w:r>
    </w:p>
    <w:p w:rsidR="00FC3DAA" w:rsidRDefault="00FC3DAA">
      <w:pPr>
        <w:pStyle w:val="ConsPlusNormal"/>
        <w:jc w:val="both"/>
      </w:pPr>
      <w:r>
        <w:t xml:space="preserve">(п. 1.6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1.7. Размещение НТО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Схемой, с учетом </w:t>
      </w:r>
      <w:proofErr w:type="gramStart"/>
      <w:r>
        <w:t>необходимости обеспечения устойчивого развития территорий муниципальных образований Новгородской области</w:t>
      </w:r>
      <w:proofErr w:type="gramEnd"/>
      <w:r>
        <w:t xml:space="preserve"> и достижения нормативов минимальной обеспеченности населения площадью торговых объектов.</w:t>
      </w:r>
    </w:p>
    <w:p w:rsidR="00FC3DAA" w:rsidRDefault="00FC3DAA">
      <w:pPr>
        <w:pStyle w:val="ConsPlusNormal"/>
        <w:jc w:val="both"/>
      </w:pPr>
      <w:r>
        <w:t xml:space="preserve">(п. 1.7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1.8. Требования к типовым </w:t>
      </w:r>
      <w:proofErr w:type="gramStart"/>
      <w:r>
        <w:t>архитектурным решениям</w:t>
      </w:r>
      <w:proofErr w:type="gramEnd"/>
      <w:r>
        <w:t xml:space="preserve"> к внешнему облику НТО, размещаемых на территории муниципального образования Новгородской области (далее архитектурный облик НТО) устанавливаются муниципальным нормативным правовым актом органа местного самоуправления и изменяются не чаще одного раза в 10 лет.</w:t>
      </w:r>
    </w:p>
    <w:p w:rsidR="00FC3DAA" w:rsidRDefault="00FC3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1.8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1.9. Предоставление права на размещение НТО осуществляется путем проведения открытого аукциона </w:t>
      </w:r>
      <w:proofErr w:type="gramStart"/>
      <w:r>
        <w:t>на право размещение</w:t>
      </w:r>
      <w:proofErr w:type="gramEnd"/>
      <w:r>
        <w:t xml:space="preserve"> НТО. Порядок проведения </w:t>
      </w:r>
      <w:proofErr w:type="gramStart"/>
      <w:r>
        <w:t>на право размещение</w:t>
      </w:r>
      <w:proofErr w:type="gramEnd"/>
      <w:r>
        <w:t xml:space="preserve"> НТО устанавливается муниципальным нормативным правовым актом органа местного самоуправления.</w:t>
      </w:r>
    </w:p>
    <w:p w:rsidR="00FC3DAA" w:rsidRDefault="00FC3DAA">
      <w:pPr>
        <w:pStyle w:val="ConsPlusNormal"/>
        <w:spacing w:before="220"/>
        <w:ind w:firstLine="540"/>
        <w:jc w:val="both"/>
      </w:pPr>
      <w:proofErr w:type="gramStart"/>
      <w:r>
        <w:t>В случае принятия органом местного самоуправления решения об упразднении (переносе) места размещения НТО хозяйствующему субъекту, осуществляющему торговую деятельность, предоставляется право на размещение НТО в другом месте без проведения аукциона на право размещение НТО (далее аукцион) в соответствии с порядком принятия решения о заключении договора на размещение НТО без проведения аукциона, утвержденным муниципальным нормативным правовым актом органа местного самоуправления.</w:t>
      </w:r>
      <w:proofErr w:type="gramEnd"/>
      <w:r>
        <w:t xml:space="preserve"> Для этого уполномоченный орган местного самоуправления за три месяца уведомляет хозяйствующий субъект, осуществляющий торговую деятельность, о переносе, либо упразднении места размещения, одновременного информируя о компенсационном месте размещения НТО, о свободных местах, которые в течение 12 месяцев могут быть выставлены на аукцион.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Если хозяйствующий субъект, осуществляющий торговую деятельность, выбирает компенсационное место размещения НТО с ним заключается дополнительное соглашение к договору аренды земельного участка или договора на размещение НТО, после </w:t>
      </w:r>
      <w:proofErr w:type="gramStart"/>
      <w:r>
        <w:t>подписания</w:t>
      </w:r>
      <w:proofErr w:type="gramEnd"/>
      <w:r>
        <w:t xml:space="preserve"> которого он обязан в течение 20 дней освободить занимаемое ранее место размещения НТО.</w:t>
      </w:r>
    </w:p>
    <w:p w:rsidR="00FC3DAA" w:rsidRDefault="00FC3DAA">
      <w:pPr>
        <w:pStyle w:val="ConsPlusNormal"/>
        <w:jc w:val="both"/>
      </w:pPr>
      <w:r>
        <w:t xml:space="preserve">(п. 1.9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Title"/>
        <w:jc w:val="center"/>
        <w:outlineLvl w:val="1"/>
      </w:pPr>
      <w:r>
        <w:t>2. ПОРЯДОК РАЗРАБОТКИ СХЕМ, ВНЕСЕНИЯ В НИХ ИЗМЕНЕНИЙ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ind w:firstLine="540"/>
        <w:jc w:val="both"/>
      </w:pPr>
      <w:r>
        <w:t xml:space="preserve">2.1. Разработка </w:t>
      </w:r>
      <w:hyperlink w:anchor="P248" w:history="1">
        <w:r>
          <w:rPr>
            <w:color w:val="0000FF"/>
          </w:rPr>
          <w:t>Схемы</w:t>
        </w:r>
      </w:hyperlink>
      <w:r>
        <w:t>, а также внесение в нее изменений осуществляется органом местного самоуправления по форме согласно приложению к настоящему Порядку.</w:t>
      </w:r>
    </w:p>
    <w:p w:rsidR="00FC3DAA" w:rsidRDefault="00FC3D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</w:t>
      </w:r>
      <w:r>
        <w:lastRenderedPageBreak/>
        <w:t>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Включение НТО в Схему осуществляется органом местного самоуправления по заявлению хозяйствующих субъектов, осуществляющих торговую деятельность, либо по собственной инициативе по согласованию с органом, осуществляющим полномочия собственника имущества (если земельные участки, на которых расположено место размещения НТО, находятся в государственной собственности), либо самостоятельно (если земельные участки, на которых расположено место размещения НТО, находятся в муниципальной собственности либо собственность на них не</w:t>
      </w:r>
      <w:proofErr w:type="gramEnd"/>
      <w:r>
        <w:t xml:space="preserve"> </w:t>
      </w:r>
      <w:proofErr w:type="gramStart"/>
      <w:r>
        <w:t>разграничена</w:t>
      </w:r>
      <w:proofErr w:type="gramEnd"/>
      <w:r>
        <w:t>), в зданиях, строениях, сооружениях, находящихся в государственной собственности или муниципальной собственности, на территориях муниципальных образований Новгородской области.</w:t>
      </w:r>
    </w:p>
    <w:p w:rsidR="00FC3DAA" w:rsidRDefault="00FC3DAA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2.3. Заявление о включении НТО в Схему составляется хозяйствующим субъектом, осуществляющим торговую деятельность в сфере торговли, общественного питания, оказания бытовых услуг с указанием следующих сведений: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наименования, организационно-правовой формы, адреса местонахождения;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фамилии, имени, отчества, сведений о месте жительства;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фамилии, имени, отчества, сведений о месте жительства - гражданина, ведущего личное подсобное хозяйство;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место размещения (адресные ориентиры) НТО;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площадь места размещения НТО (для НТО, планируемого для размещения);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вид НТО, планируемого к включению в Схему;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специализация НТО;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период размещения;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графическое изображение места размещения НТО для исключения разногласий при размещении нескольких объектов нестационарной торговли по одному адресному ориентиру.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Органы местного самоуправления не вправе требовать представления иных сведений.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2.4. Схема основывается </w:t>
      </w:r>
      <w:proofErr w:type="gramStart"/>
      <w:r>
        <w:t>на</w:t>
      </w:r>
      <w:proofErr w:type="gramEnd"/>
      <w:r>
        <w:t>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анализе</w:t>
      </w:r>
      <w:proofErr w:type="gramEnd"/>
      <w:r>
        <w:t xml:space="preserve"> и характеристике текущего состояния развития инфраструктуры розничной нестационарной торговли, в том числе на результатах инвентаризации существующих НТО и мест их размещения;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>2) оценке достижения минимального уровня обеспеченности населения площадью НТО, обеспечения территориальной доступности торговых объектов для населения, обеспечения населения торговыми услугами в местах отдыха и проведения досуга.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2.5. Схема размещения разрабатывается и утверждается уполномоченным органом местного самоуправления и действует бессрочно.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2.6. Схемы, принятые до вступления в силу настоящего Порядка, действуют до окончания срока их действия. В случае необходимости внесения изменений в такие Схемы изменения вносятся в соответствии с настоящим Порядком.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2.7. Разработка Схемы размещения включает в себя следующие основные этапы: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1) принятие уполномоченным органом местного самоуправления решения о разработке Схемы;</w:t>
      </w:r>
    </w:p>
    <w:p w:rsidR="00FC3DAA" w:rsidRDefault="00FC3DAA">
      <w:pPr>
        <w:pStyle w:val="ConsPlusNormal"/>
        <w:spacing w:before="220"/>
        <w:ind w:firstLine="540"/>
        <w:jc w:val="both"/>
      </w:pPr>
      <w:proofErr w:type="gramStart"/>
      <w:r>
        <w:t>2) сбор предложений о размещении мест НТО и торговых объектов местного значения от населения и субъектов предпринимательской деятельности, иных заинтересованных лиц, при необходимости возможно проведение общественных слушаний в установленном законодательством Российской Федерации и Новгородской области порядке;</w:t>
      </w:r>
      <w:proofErr w:type="gramEnd"/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3) согласование с федеральным органом исполнительной власти или исполнительным органом государственной власти Новгородской области, являющимся уполномоченным органом по управлению государственным имуществом Новгородской области, включения в Схему нестационарных торговых объектов, расположенных на земельных участках, находящихся в государственной собственности (в федеральной собственности или в собственности Новгородской области, а также </w:t>
      </w:r>
      <w:proofErr w:type="gramStart"/>
      <w:r>
        <w:t>собственность</w:t>
      </w:r>
      <w:proofErr w:type="gramEnd"/>
      <w:r>
        <w:t xml:space="preserve"> на которые не разграничена, расположенных на территории Новгородской области), в зданиях, строениях, </w:t>
      </w:r>
      <w:proofErr w:type="gramStart"/>
      <w:r>
        <w:t>сооружениях</w:t>
      </w:r>
      <w:proofErr w:type="gramEnd"/>
      <w:r>
        <w:t>, находящихся в государственной собственности или муниципальной собственности;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4) разработка проекта Схемы;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5) утверждение Схемы;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6) опубликование Схемы.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2.8. Решение о разработке и утверждении Схемы, а также решение о внесении изменений в Схему, принимаются в форме правового акта органа местного самоуправления, определенного уставом соответствующего муниципального образования.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2.9. Решение о разработке и утверждении Схемы, а также решение о внесении изменений в Схему подлежит опубликованию в порядке, установленном для официального опубликования муниципальных правовых актов, и размещения на официальном сайте органа местного самоуправления в информационно-телекоммуникационной сети "Интернет".</w:t>
      </w:r>
    </w:p>
    <w:p w:rsidR="00FC3DAA" w:rsidRDefault="00FC3DAA">
      <w:pPr>
        <w:pStyle w:val="ConsPlusNormal"/>
        <w:spacing w:before="220"/>
        <w:ind w:firstLine="540"/>
        <w:jc w:val="both"/>
      </w:pPr>
      <w:proofErr w:type="gramStart"/>
      <w:r>
        <w:t>С момента принятия решения о разработке и утверждении Схемы или решения о внесении изменений в Схему до утверждения Схемы размещение новых НТО, а также снос (демонтаж, ликвидация) существующих НТО, включенных в Схему, не допускаются, за исключением демонтажа и ликвидации НТО в связи с окончанием срока размещения объекта, по заявлению хозяйствующего субъекта, осуществляющего торговую деятельность, либо по решению суда.</w:t>
      </w:r>
      <w:proofErr w:type="gramEnd"/>
    </w:p>
    <w:p w:rsidR="00FC3DAA" w:rsidRDefault="00FC3DAA">
      <w:pPr>
        <w:pStyle w:val="ConsPlusNormal"/>
        <w:spacing w:before="220"/>
        <w:ind w:firstLine="540"/>
        <w:jc w:val="both"/>
      </w:pPr>
      <w:r>
        <w:t>Со дня опубликования информации о разработке и утверждении Схемы физические лица и хозяйствующие субъекты, осуществляющие торговую деятельность, вправе представить в орган местного самоуправления предложения о развитии сети НТО, в части включения в Схему дополнительных мест размещения НТО, видов и типов НТО.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>2.10. Перед разработкой Схемы орган местного самоуправления обязан провести инвентаризацию существующих НТО и мест их размещения. Данная инвентаризация проводится в границах муниципального образования Новгородской области, применительно к которым проводится разработка Схемы.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При проведении инвентаризации к существующим НТО относят также НТО, строительство, реконструкция или эксплуатация которых были разрешены и начаты до разработки Схемы.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Инвентаризация мест размещения НТО должна включать в себя инвентаризацию фактически существующих НТО на местности, в том числе строительство предполагаемых НТО, реконструкция или эксплуатация которых были разрешены и начаты до разработки Схемы.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Результаты инвентаризации утверждаются нормативным правовым актом органа местного самоуправления.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2.11. Разработка Схемы осуществляется с учетом результатов инвентаризации НТО и мест их размещения, а также обеспечения населения товарами первой необходимости.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2.12. Разработанная Схема должна обеспечивать: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восполнение недостатка стационарной торговой сети;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повышение доступности товаров для населения;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содействие развитию торговой деятельности;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развитие малых форматов торговли;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недопущение сокращения количества торговых объектов приоритетных (социально значимых) специализаций, которые определяются органом местного самоуправления.</w:t>
      </w:r>
    </w:p>
    <w:p w:rsidR="00FC3DAA" w:rsidRDefault="00FC3DAA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2.13. Схема разрабатывается в соответствии с архитектурными, градостроительными, строительными и пожарными нормами и правилами, проектами планировки и благоустройства территории муниципального образования Новгородской области.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При разработке схемы учитываются:</w:t>
      </w:r>
    </w:p>
    <w:p w:rsidR="00FC3DAA" w:rsidRDefault="00FC3DAA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Федерации",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государственной охраны объектов культурного наследия, в области образования, в области обеспечения санитарно-эпидемиологического благополучия населения, законодательства о пожарной</w:t>
      </w:r>
      <w:proofErr w:type="gramEnd"/>
      <w:r>
        <w:t xml:space="preserve"> безопасности, о государственном регулировании производства и оборота этилового спирта, алкогольной и спиртосодержащей продукции, а также ограничения, установленные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 февраля 2013 года N 15-ФЗ "Об охране здоровья граждан от воздействия окружающего табачного дыма и последствий потребления табака";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размещение существующих нестационарных торговых объектов;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необходимость восполнения недостатка стационарной торговой сети и (или) недостатка тех или иных групп товаров.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2.14. Не допускается отказ о включении в Схему мест размещения НТО, предлагаемых хозяйствующими субъектами, осуществляющими торговую деятельность, а также исключения из Схемы мест размещения НТО по соображениям нецелесообразности их функционирования.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>2.15. Проект Схемы подлежит публичному обсуждению с участием предпринимательского сообщества путем размещения проекта Схем на официальном сайте органа местного самоуправления в информационно-телекоммуникационной сети "Интернет".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2.16. Схемой должно предусматриваться размещение не менее 60 процентов НТО, используемых субъектами малого или среднего предпринимательства, осуществляющими торговую деятельность, от общего количества НТО. Процентное соотношение НТО, используемых субъектами малого и среднего предпринимательства, осуществляющими торговую деятельность, от общего количества НТО может устанавливаться правовыми актами органа местного самоуправления и не должно быть менее 60 процентов.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2.17. </w:t>
      </w:r>
      <w:hyperlink w:anchor="P248" w:history="1">
        <w:r>
          <w:rPr>
            <w:color w:val="0000FF"/>
          </w:rPr>
          <w:t>Схема</w:t>
        </w:r>
      </w:hyperlink>
      <w:r>
        <w:t xml:space="preserve"> представляет собой документ, состоящий из текстовой части в виде таблицы, по форме согласно приложению к настоящему Порядку, определяющий действующие, перспективные места размещения НТО, а также компенсационные места размещения НТО (далее компенсационное место).</w:t>
      </w:r>
    </w:p>
    <w:p w:rsidR="00FC3DAA" w:rsidRDefault="00FC3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2.18. При осуществлении торговой деятельности в НТО должна соблюдаться специализация НТО, сведения о которой включены в Схему.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2.19. Период размещения для НТО может устанавливаться в Схеме: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1) для мест размещения НТО с товарами повседневного спроса или передвижных (мобильных) нестационарных торговых объектов - постоянно, круглогодично;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2) для мест размещения НТО временного размещения на срок до 180 календарных дней в течение календарного года.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2.20. Подготовка Схемы должна осуществляться также применительно к отдельным территориям, расположенным вне границ населенных пунктов: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1) промышленным зонам;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2) зонам остановок общественного транспорта и предоставления услуг дорожного сервиса на автомобильных дорогах местного значения.</w:t>
      </w:r>
    </w:p>
    <w:p w:rsidR="00FC3DAA" w:rsidRDefault="00FC3DAA">
      <w:pPr>
        <w:pStyle w:val="ConsPlusNormal"/>
        <w:spacing w:before="220"/>
        <w:ind w:firstLine="540"/>
        <w:jc w:val="both"/>
      </w:pPr>
      <w:bookmarkStart w:id="3" w:name="P175"/>
      <w:bookmarkEnd w:id="3"/>
      <w:r>
        <w:t>2.21. Не допускается включение в Схему сведений о месте размещения нестационарного торгового объекта на земельных участках, в зданиях, строениях, сооружениях, не соответствующих требованиям законодательства Российской Федерации и Новгородской области, а также правовых актов органов местного самоуправления.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2.22. Внесение изменений в Схему осуществляется в следующих целях: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обеспечение жителей товарами первой необходимости в пределах шаговой доступности;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обеспечение устойчивого развития территорий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размещение на территории муниципального образования новых НТО;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приведение в соответствие с изменениями в законодательство Российской Федерации.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2.23. Основаниями для принятия решения о внесении изменений (включение или исключение мест размещения НТО) в Схему являются: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>1) реализация долгосрочных стратегических и целевых программ муниципальных образований, расположенных на территории Новгородской области;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2) необходимость достижения нормативов минимальной обеспеченности населения площадью торговых объектов;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3) 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4) ремонт и реконструкция автомобильных дорог, повлекшие необходимость переноса НТО;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5) прекращение, перепрофилирование деятельности НТО, повлекшие снижение обеспеченности населения площадью НТО до уровня ниже установленного норматива минимальной обеспеченности населения площадью торговых объектов;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6) заявления от населения, субъектов предпринимательской деятельности, иных заинтересованных лиц с указанием конкретных предложений о включении в Схему размещения новых мест для размещения НТО;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7) случае возникновения необходимости использования земельного участка, на котором размещен НТО, для государственных или муниципальных нужд, а </w:t>
      </w:r>
      <w:proofErr w:type="gramStart"/>
      <w:r>
        <w:t>также</w:t>
      </w:r>
      <w:proofErr w:type="gramEnd"/>
      <w:r>
        <w:t xml:space="preserve"> если данное место перестало соответствовать требованиям </w:t>
      </w:r>
      <w:hyperlink w:anchor="P158" w:history="1">
        <w:r>
          <w:rPr>
            <w:color w:val="0000FF"/>
          </w:rPr>
          <w:t>пункта 2.13</w:t>
        </w:r>
      </w:hyperlink>
      <w:r>
        <w:t xml:space="preserve"> настоящего Порядка, собственнику нестационарного торгового объекта органом местного самоуправления предоставляется компенсационное место с заблаговременным (не менее чем за 3 месяца) письменным уведомлением с предложением вариантов компенсационных мест либо с предложением самостоятельного подбора компенсационного места из числа </w:t>
      </w:r>
      <w:proofErr w:type="gramStart"/>
      <w:r>
        <w:t>имеющихся</w:t>
      </w:r>
      <w:proofErr w:type="gramEnd"/>
      <w:r>
        <w:t xml:space="preserve"> в Схеме. Если свободные компенсационные места отсутствуют, орган местного самоуправления обязан предоставить иное новое место размещения, обладающее признаками компенсационного места и соответствующее требованию, указанному в </w:t>
      </w:r>
      <w:hyperlink w:anchor="P175" w:history="1">
        <w:r>
          <w:rPr>
            <w:color w:val="0000FF"/>
          </w:rPr>
          <w:t>пункте 2.21</w:t>
        </w:r>
      </w:hyperlink>
      <w:r>
        <w:t xml:space="preserve"> настоящего Порядка, с внесением необходимых изменений и дополнений в Схему с учетом </w:t>
      </w:r>
      <w:hyperlink w:anchor="P189" w:history="1">
        <w:r>
          <w:rPr>
            <w:color w:val="0000FF"/>
          </w:rPr>
          <w:t>пункта 2.24</w:t>
        </w:r>
      </w:hyperlink>
      <w:r>
        <w:t xml:space="preserve"> настоящего Порядка и предложений заинтересованных лиц.</w:t>
      </w:r>
    </w:p>
    <w:p w:rsidR="00FC3DAA" w:rsidRDefault="00FC3DAA">
      <w:pPr>
        <w:pStyle w:val="ConsPlusNormal"/>
        <w:spacing w:before="220"/>
        <w:ind w:firstLine="540"/>
        <w:jc w:val="both"/>
      </w:pPr>
      <w:bookmarkStart w:id="4" w:name="P189"/>
      <w:bookmarkEnd w:id="4"/>
      <w:r>
        <w:t>2.24. Внесение изменений в Схему состоит из следующих этапов: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2.24.1. Разработка проекта нормативного правового акта органа местного самоуправления о внесении изменений в Схему: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1) для принятия решения о внесении изменений (отказе во внесении изменений) в Схему органом местного самоуправления создается постоянно действующая комиссия с обязательным участием в ее работе представителей предпринимательского сообщества, зарегистрированных на территории муниципального образования Новгородской области, общественных представителей Уполномоченного по защите прав предпринимателей в Новгородской области (далее Комиссия). Включение в состав Комиссии указанных лиц осуществляется по их согласованию. </w:t>
      </w:r>
      <w:proofErr w:type="gramStart"/>
      <w:r>
        <w:t>Комиссия состоит из руководителя, заместителя руководителя, секретаря и членов рабочей группы;</w:t>
      </w:r>
      <w:proofErr w:type="gramEnd"/>
    </w:p>
    <w:p w:rsidR="00FC3DAA" w:rsidRDefault="00FC3DAA">
      <w:pPr>
        <w:pStyle w:val="ConsPlusNormal"/>
        <w:spacing w:before="220"/>
        <w:ind w:firstLine="540"/>
        <w:jc w:val="both"/>
      </w:pPr>
      <w:r>
        <w:t>2) инициатором внесения изменений в Схему могут выступать уполномоченный орган местного самоуправления и хозяйствующие субъекты, осуществляющие торговую деятельность (далее Заявитель);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3) для внесения изменений в Схему Заявитель направляет в орган местного самоуправления заявление о внесении изменения в Схему (далее Заявление) с указанием сведений, определенных </w:t>
      </w:r>
      <w:hyperlink w:anchor="P114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FC3DAA" w:rsidRDefault="00FC3DA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>2.24.2. Орган местного самоуправления регистрирует Заявление в день приема в электронной системе документооборота.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2.24.3. Поступившие в орган местного самоуправления Заявления проверяются на наличие в них сведений, предусмотренных </w:t>
      </w:r>
      <w:hyperlink w:anchor="P114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По результатам проверки орган местного самоуправления: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1) принимает решение о рассмотрении Заявления либо об отказе в его рассмотрении;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2) направляет Заявителю уведомление о рассмотрении Заявления либо об отказе в его рассмотрении с указанием оснований отказа почтовым отправлением или передает соответствующее уведомление Заявителю либо его представителю лично.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Общий срок проверки органом местного самоуправления Заявления, принятия решения о рассмотрении Заявления либо об отказе в его рассмотрении, а также направления уведомления Заявителю о рассмотрении его Заявления либо об отказе в его рассмотрении не может составлять более 30 календарных дней со дня регистрации Заявления.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Заявление не выносится на рассмотрение Комиссии в следующих случаях: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в Заявлении сведений требованиям, установленным </w:t>
      </w:r>
      <w:hyperlink w:anchor="P114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совпадение адреса, указанного в Заявлении, с адресом, указанным в поданном ранее Заявлении, согласно дате подачи Заявления в соответствии с журналом регистрации;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совпадение адреса, указанного в Заявлении, с адресом, в утвержденной ранее в установленном порядке Схеме;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принятые к рассмотрению Заявления рассматриваются на заседании Комиссии в соответствии с планом ее работы и положением о полномочиях Комиссии, утвержденным нормативным правовым актом органа местного самоуправления Новгородской области;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отказ во включении НТО в Схему осуществляется в следующих случаях: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планируемое размещение НТО нарушает установленные законодательством Российской Федерации противопожарные, санитарные, экологические, архитектурные нормы, правила безопасности дорожного движения (на автодорогах, пешеходных тротуарах, магистральных улицах, эспланадах, треугольниках видимости, на придорожной полосе и т.д.);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планируемое размещение НТО на инженерных сетях или в их охранных зонах без согласования с их владельцами;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планируемое размещение НТО в границах охранных зон зарегистрированных памятников культурного наследия (природы) и в зонах особо охраняемых природных территорий без согласования места размещения с государственными органами, отвечающими за сохранность объектов культурного наследия и особо охраняемых природных территорий;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нарушение прав третьих лиц в отношении земельного участка, на котором Заявитель планирует </w:t>
      </w:r>
      <w:proofErr w:type="gramStart"/>
      <w:r>
        <w:t>разместить НТО</w:t>
      </w:r>
      <w:proofErr w:type="gramEnd"/>
      <w:r>
        <w:t>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если испрашиваемый земельный участок, на котором Заявитель планирует </w:t>
      </w:r>
      <w:proofErr w:type="gramStart"/>
      <w:r>
        <w:t>разместить НТО</w:t>
      </w:r>
      <w:proofErr w:type="gramEnd"/>
      <w:r>
        <w:t>, изъят из оборота;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в иных случаях, когда в отношении земельного участка действуют установленные законодательством Российской Федерации ограничения в обороте.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lastRenderedPageBreak/>
        <w:t>2.24.4. Согласование с уполномоченным федеральным или региональным органами исполнительной власти включения НТО,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Новгородской области соответственно), в Схему.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Министерства промышленности и торговли Новгородской области от 26.03.2021 N 1.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2.24.5. </w:t>
      </w:r>
      <w:proofErr w:type="gramStart"/>
      <w:r>
        <w:t>Согласование с органом исполнительной власти Новгородской области, уполномоченным в области сохранения, использования, популяризации и государственной охраны объектов культурного наследия (в случаях включения в схему размещения нестационарных торговых объектов, расположенных в границах территорий объектов культурного наследия федерального и регионального значения, выявленных объектов культурного наследия и в границах зон охраны указанных объектов культурного наследия), органом исполнительной власти области, уполномоченным в области природопользования</w:t>
      </w:r>
      <w:proofErr w:type="gramEnd"/>
      <w:r>
        <w:t xml:space="preserve"> </w:t>
      </w:r>
      <w:proofErr w:type="gramStart"/>
      <w:r>
        <w:t>и охраны окружающей среды (в случаях включения в схему размещения нестационарных торговых объектов, расположенных в границах особо охраняемых природных территорий регионального значения и (или) в границах территорий водоохранных зон), органом исполнительной власти области, уполномоченным в области развития туризма (в случаях включения в схему размещения нестационарных торговых объектов, расположенных на территориях объектов туристской индустрии).</w:t>
      </w:r>
      <w:proofErr w:type="gramEnd"/>
    </w:p>
    <w:p w:rsidR="00FC3DAA" w:rsidRDefault="00FC3DAA">
      <w:pPr>
        <w:pStyle w:val="ConsPlusNormal"/>
        <w:spacing w:before="220"/>
        <w:ind w:firstLine="540"/>
        <w:jc w:val="both"/>
      </w:pPr>
      <w:r>
        <w:t>Общий срок согласования составляет 15 дней с момента направления проекта вносимых изменений в Схему в уполномоченный орган исполнительной власти Новгородской области.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2.24.6. Утверждение и опубликование изменений в Схему.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2.25. В соответствии с утвержденной Схемой орган местного самоуправления заключает договор на размещение НТО с хозяйствующим субъектом, осуществляющим торговую деятельность, в порядке, установленном органом местного самоуправления. Предельный срок, на который орган местного самоуправления вправе заключить договор на размещение НТО, составляет 10 лет.</w:t>
      </w:r>
    </w:p>
    <w:p w:rsidR="00FC3DAA" w:rsidRDefault="00FC3DAA">
      <w:pPr>
        <w:pStyle w:val="ConsPlusNormal"/>
        <w:spacing w:before="220"/>
        <w:ind w:firstLine="540"/>
        <w:jc w:val="both"/>
      </w:pPr>
      <w:proofErr w:type="gramStart"/>
      <w:r>
        <w:t>Заявитель, имеющий действующий на момент вступления в силу данного постановления договор аренды земельного участка или договор на размещение НТО, в месте, установленном Схемой, имеет преимущественное право на перезаключение его на новый срок неограниченное число раз, без проведения аукциона при отсутствии нарушений, выявленных в период действия договора на размещение НТО, с учетом соблюдения требований по архитектурному облику НТО, и наличия объекта</w:t>
      </w:r>
      <w:proofErr w:type="gramEnd"/>
      <w:r>
        <w:t xml:space="preserve"> в действующей Схеме.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В случае если заявитель в течение одного квартала после истечения срока договора аренды земельного участка или договора на размещение НТО не подал заявление об его продлении, указанный договор считается расторгнутым, а занимаемое место выставляется на аукцион.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Размер платы за размещение НТО на территории муниципального образования Новгородской области определяется по результатам аукциона и устанавливается в договоре на размещение НТО.</w:t>
      </w:r>
    </w:p>
    <w:p w:rsidR="00FC3DAA" w:rsidRDefault="00FC3DAA">
      <w:pPr>
        <w:pStyle w:val="ConsPlusNormal"/>
        <w:spacing w:before="220"/>
        <w:ind w:firstLine="540"/>
        <w:jc w:val="both"/>
      </w:pPr>
      <w:proofErr w:type="gramStart"/>
      <w:r>
        <w:t>В случае заключения договора на размещение НТО без проведения процедуры аукциона размер платы за размещение НТО на территории</w:t>
      </w:r>
      <w:proofErr w:type="gramEnd"/>
      <w:r>
        <w:t xml:space="preserve"> муниципального образования Новгородской области определяется в договоре, заключенным в соответствии с порядком принятия решения о заключении договора на размещение НТО без проведения аукциона, утвержденным муниципальным нормативным правовым актом органа местного самоуправления.</w:t>
      </w:r>
    </w:p>
    <w:p w:rsidR="00FC3DAA" w:rsidRDefault="00FC3DAA">
      <w:pPr>
        <w:pStyle w:val="ConsPlusNormal"/>
        <w:jc w:val="both"/>
      </w:pPr>
      <w:r>
        <w:t xml:space="preserve">(п. 2.25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Министерства промышленности и торговли Новгородской области от 26.03.2021 N 1)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 xml:space="preserve">2.26. Утверждение схемы, </w:t>
      </w:r>
      <w:proofErr w:type="gramStart"/>
      <w:r>
        <w:t>а</w:t>
      </w:r>
      <w:proofErr w:type="gramEnd"/>
      <w:r>
        <w:t xml:space="preserve"> равно как и внесение в нее изменений, не может служить </w:t>
      </w:r>
      <w:r>
        <w:lastRenderedPageBreak/>
        <w:t>основанием для пересмотра мест размещения НТО, строительство, реконструкция или эксплуатация которых были начаты до утверждения Схемы. Такие места размещения НТО включаются в Схему как действующие.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Title"/>
        <w:jc w:val="center"/>
        <w:outlineLvl w:val="1"/>
      </w:pPr>
      <w:r>
        <w:t>3. ПРЕДОСТАВЛЕНИЕ ИНФОРМАЦИИ ОБ УТВЕРЖДЕНИИ СХЕМ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ind w:firstLine="540"/>
        <w:jc w:val="both"/>
      </w:pPr>
      <w:r>
        <w:t>3.1. Утвержденные Схемы и вносимые в них изменения подлежат опубликованию органами местного самоуправления в порядке, установленном для официального опубликования муниципальных правовых актов и размещению на официальных сайтах органов местного самоуправления в информационно-телекоммуникационной сети "Интернет".</w:t>
      </w:r>
    </w:p>
    <w:p w:rsidR="00FC3DAA" w:rsidRDefault="00FC3DAA">
      <w:pPr>
        <w:pStyle w:val="ConsPlusNormal"/>
        <w:spacing w:before="220"/>
        <w:ind w:firstLine="540"/>
        <w:jc w:val="both"/>
      </w:pPr>
      <w:r>
        <w:t>3.2. Копии муниципальных правовых актов об утверждении Схем и информация о специализации и типах НТО направляются органом местного самоуправления в министерство промышленности и торговли Новгородской области с сопроводительным письмом в печатном и электронном виде в течение 7 рабочих дней с даты их утверждения.</w:t>
      </w: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right"/>
        <w:outlineLvl w:val="1"/>
      </w:pPr>
      <w:r>
        <w:t>Приложение</w:t>
      </w:r>
    </w:p>
    <w:p w:rsidR="00FC3DAA" w:rsidRDefault="00FC3DAA">
      <w:pPr>
        <w:pStyle w:val="ConsPlusNormal"/>
        <w:jc w:val="right"/>
      </w:pPr>
      <w:r>
        <w:t>к Порядку</w:t>
      </w:r>
    </w:p>
    <w:p w:rsidR="00FC3DAA" w:rsidRDefault="00FC3DAA">
      <w:pPr>
        <w:pStyle w:val="ConsPlusNormal"/>
        <w:jc w:val="right"/>
      </w:pPr>
      <w:r>
        <w:t>разработки и утверждения схемы</w:t>
      </w:r>
    </w:p>
    <w:p w:rsidR="00FC3DAA" w:rsidRDefault="00FC3DAA">
      <w:pPr>
        <w:pStyle w:val="ConsPlusNormal"/>
        <w:jc w:val="right"/>
      </w:pPr>
      <w:r>
        <w:t xml:space="preserve">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FC3DAA" w:rsidRDefault="00FC3DAA">
      <w:pPr>
        <w:pStyle w:val="ConsPlusNormal"/>
        <w:jc w:val="right"/>
      </w:pPr>
      <w:r>
        <w:t>объектов на земельных участках,</w:t>
      </w:r>
    </w:p>
    <w:p w:rsidR="00FC3DAA" w:rsidRDefault="00FC3DAA">
      <w:pPr>
        <w:pStyle w:val="ConsPlusNormal"/>
        <w:jc w:val="right"/>
      </w:pPr>
      <w:r>
        <w:t>в зданиях, строениях, сооружениях,</w:t>
      </w:r>
    </w:p>
    <w:p w:rsidR="00FC3DAA" w:rsidRDefault="00FC3DAA">
      <w:pPr>
        <w:pStyle w:val="ConsPlusNormal"/>
        <w:jc w:val="right"/>
      </w:pPr>
      <w:r>
        <w:t>находящихся в государственной</w:t>
      </w:r>
    </w:p>
    <w:p w:rsidR="00FC3DAA" w:rsidRDefault="00FC3DAA">
      <w:pPr>
        <w:pStyle w:val="ConsPlusNormal"/>
        <w:jc w:val="right"/>
      </w:pPr>
      <w:r>
        <w:t>собственности или муниципальной</w:t>
      </w:r>
    </w:p>
    <w:p w:rsidR="00FC3DAA" w:rsidRDefault="00FC3DAA">
      <w:pPr>
        <w:pStyle w:val="ConsPlusNormal"/>
        <w:jc w:val="right"/>
      </w:pPr>
      <w:r>
        <w:t>собственности от 29.11.2019 N 5</w:t>
      </w:r>
    </w:p>
    <w:p w:rsidR="00FC3DAA" w:rsidRDefault="00FC3D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C3D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3DAA" w:rsidRDefault="00FC3D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DAA" w:rsidRDefault="00FC3D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промышленности и торговли</w:t>
            </w:r>
            <w:proofErr w:type="gramEnd"/>
          </w:p>
          <w:p w:rsidR="00FC3DAA" w:rsidRDefault="00FC3DAA">
            <w:pPr>
              <w:pStyle w:val="ConsPlusNormal"/>
              <w:jc w:val="center"/>
            </w:pPr>
            <w:r>
              <w:rPr>
                <w:color w:val="392C69"/>
              </w:rPr>
              <w:t>Новгородской области от 26.03.2021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AA" w:rsidRDefault="00FC3DAA">
            <w:pPr>
              <w:spacing w:after="1" w:line="0" w:lineRule="atLeast"/>
            </w:pPr>
          </w:p>
        </w:tc>
      </w:tr>
    </w:tbl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center"/>
      </w:pPr>
      <w:bookmarkStart w:id="5" w:name="P248"/>
      <w:bookmarkEnd w:id="5"/>
      <w:r>
        <w:t>СХЕМА</w:t>
      </w:r>
    </w:p>
    <w:p w:rsidR="00FC3DAA" w:rsidRDefault="00FC3DAA">
      <w:pPr>
        <w:pStyle w:val="ConsPlusNormal"/>
        <w:jc w:val="center"/>
      </w:pPr>
      <w:r>
        <w:t>размещения нестационарных торговых объектов на территории</w:t>
      </w:r>
    </w:p>
    <w:p w:rsidR="00FC3DAA" w:rsidRDefault="00FC3DAA">
      <w:pPr>
        <w:pStyle w:val="ConsPlusNormal"/>
        <w:jc w:val="center"/>
      </w:pPr>
      <w:r>
        <w:t>______________________________________________</w:t>
      </w:r>
    </w:p>
    <w:p w:rsidR="00FC3DAA" w:rsidRDefault="00FC3DAA">
      <w:pPr>
        <w:pStyle w:val="ConsPlusNormal"/>
        <w:jc w:val="center"/>
      </w:pPr>
      <w:r>
        <w:t>(наименование муниципального образования)</w:t>
      </w:r>
    </w:p>
    <w:p w:rsidR="00FC3DAA" w:rsidRDefault="00FC3DAA">
      <w:pPr>
        <w:pStyle w:val="ConsPlusNormal"/>
        <w:jc w:val="both"/>
      </w:pPr>
    </w:p>
    <w:p w:rsidR="00FC3DAA" w:rsidRDefault="00FC3DAA">
      <w:pPr>
        <w:sectPr w:rsidR="00FC3DAA" w:rsidSect="00AA70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04"/>
        <w:gridCol w:w="1474"/>
        <w:gridCol w:w="1247"/>
        <w:gridCol w:w="1191"/>
        <w:gridCol w:w="680"/>
        <w:gridCol w:w="1361"/>
        <w:gridCol w:w="1814"/>
        <w:gridCol w:w="2211"/>
        <w:gridCol w:w="1701"/>
      </w:tblGrid>
      <w:tr w:rsidR="00FC3DAA">
        <w:tc>
          <w:tcPr>
            <w:tcW w:w="567" w:type="dxa"/>
          </w:tcPr>
          <w:p w:rsidR="00FC3DAA" w:rsidRDefault="00FC3DA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FC3DAA" w:rsidRDefault="00FC3DAA">
            <w:pPr>
              <w:pStyle w:val="ConsPlusNormal"/>
              <w:jc w:val="center"/>
            </w:pPr>
            <w:r>
              <w:t>Наименование нестационарного торгового объекта</w:t>
            </w:r>
          </w:p>
        </w:tc>
        <w:tc>
          <w:tcPr>
            <w:tcW w:w="1474" w:type="dxa"/>
          </w:tcPr>
          <w:p w:rsidR="00FC3DAA" w:rsidRDefault="00FC3DAA">
            <w:pPr>
              <w:pStyle w:val="ConsPlusNormal"/>
              <w:jc w:val="center"/>
            </w:pPr>
            <w:r>
              <w:t>Адрес нахождения нестационарного торгового объекта</w:t>
            </w:r>
          </w:p>
        </w:tc>
        <w:tc>
          <w:tcPr>
            <w:tcW w:w="1247" w:type="dxa"/>
          </w:tcPr>
          <w:p w:rsidR="00FC3DAA" w:rsidRDefault="00FC3DAA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1191" w:type="dxa"/>
          </w:tcPr>
          <w:p w:rsidR="00FC3DAA" w:rsidRDefault="00FC3DAA">
            <w:pPr>
              <w:pStyle w:val="ConsPlusNormal"/>
              <w:jc w:val="center"/>
            </w:pPr>
            <w:r>
              <w:t>Площадь нестационарного торгового объекта, кв. м</w:t>
            </w:r>
          </w:p>
        </w:tc>
        <w:tc>
          <w:tcPr>
            <w:tcW w:w="680" w:type="dxa"/>
          </w:tcPr>
          <w:p w:rsidR="00FC3DAA" w:rsidRDefault="00FC3DAA">
            <w:pPr>
              <w:pStyle w:val="ConsPlusNormal"/>
              <w:jc w:val="center"/>
            </w:pPr>
            <w:r>
              <w:t>Владелец НТО</w:t>
            </w:r>
          </w:p>
        </w:tc>
        <w:tc>
          <w:tcPr>
            <w:tcW w:w="1361" w:type="dxa"/>
          </w:tcPr>
          <w:p w:rsidR="00FC3DAA" w:rsidRDefault="00FC3DAA">
            <w:pPr>
              <w:pStyle w:val="ConsPlusNormal"/>
              <w:jc w:val="center"/>
            </w:pPr>
            <w:r>
              <w:t>Принадлежность к субъектам малого или среднего предпринимательства</w:t>
            </w:r>
          </w:p>
        </w:tc>
        <w:tc>
          <w:tcPr>
            <w:tcW w:w="1814" w:type="dxa"/>
          </w:tcPr>
          <w:p w:rsidR="00FC3DAA" w:rsidRDefault="00FC3DAA">
            <w:pPr>
              <w:pStyle w:val="ConsPlusNormal"/>
              <w:jc w:val="center"/>
            </w:pPr>
            <w:r>
              <w:t>Название и реквизиты договора о предоставлении права на размещение нестационарного торгового объекта</w:t>
            </w:r>
          </w:p>
        </w:tc>
        <w:tc>
          <w:tcPr>
            <w:tcW w:w="2211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Срок эксплуатации нестационарного торгового объекта (в соответствии с договором о предоставлении права на размещение нестационарного торгового объекта)</w:t>
            </w:r>
          </w:p>
        </w:tc>
        <w:tc>
          <w:tcPr>
            <w:tcW w:w="1701" w:type="dxa"/>
          </w:tcPr>
          <w:p w:rsidR="00FC3DAA" w:rsidRDefault="00FC3DAA">
            <w:pPr>
              <w:pStyle w:val="ConsPlusNormal"/>
              <w:jc w:val="center"/>
            </w:pPr>
            <w:r>
              <w:t>Статус места размещения нестационарного торгового объекта (действующее, перспективное, компенсационное место)</w:t>
            </w:r>
          </w:p>
        </w:tc>
      </w:tr>
      <w:tr w:rsidR="00FC3DAA">
        <w:tc>
          <w:tcPr>
            <w:tcW w:w="567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FC3DAA" w:rsidRDefault="00FC3DAA">
            <w:pPr>
              <w:pStyle w:val="ConsPlusNormal"/>
              <w:jc w:val="center"/>
            </w:pPr>
            <w:r>
              <w:t>10</w:t>
            </w:r>
          </w:p>
        </w:tc>
      </w:tr>
      <w:tr w:rsidR="00FC3DAA">
        <w:tc>
          <w:tcPr>
            <w:tcW w:w="567" w:type="dxa"/>
          </w:tcPr>
          <w:p w:rsidR="00FC3DAA" w:rsidRDefault="00FC3DAA">
            <w:pPr>
              <w:pStyle w:val="ConsPlusNormal"/>
            </w:pPr>
          </w:p>
        </w:tc>
        <w:tc>
          <w:tcPr>
            <w:tcW w:w="1304" w:type="dxa"/>
          </w:tcPr>
          <w:p w:rsidR="00FC3DAA" w:rsidRDefault="00FC3DAA">
            <w:pPr>
              <w:pStyle w:val="ConsPlusNormal"/>
            </w:pPr>
          </w:p>
        </w:tc>
        <w:tc>
          <w:tcPr>
            <w:tcW w:w="1474" w:type="dxa"/>
          </w:tcPr>
          <w:p w:rsidR="00FC3DAA" w:rsidRDefault="00FC3DAA">
            <w:pPr>
              <w:pStyle w:val="ConsPlusNormal"/>
            </w:pPr>
          </w:p>
        </w:tc>
        <w:tc>
          <w:tcPr>
            <w:tcW w:w="1247" w:type="dxa"/>
          </w:tcPr>
          <w:p w:rsidR="00FC3DAA" w:rsidRDefault="00FC3DAA">
            <w:pPr>
              <w:pStyle w:val="ConsPlusNormal"/>
            </w:pPr>
          </w:p>
        </w:tc>
        <w:tc>
          <w:tcPr>
            <w:tcW w:w="1191" w:type="dxa"/>
          </w:tcPr>
          <w:p w:rsidR="00FC3DAA" w:rsidRDefault="00FC3DAA">
            <w:pPr>
              <w:pStyle w:val="ConsPlusNormal"/>
            </w:pPr>
          </w:p>
        </w:tc>
        <w:tc>
          <w:tcPr>
            <w:tcW w:w="680" w:type="dxa"/>
          </w:tcPr>
          <w:p w:rsidR="00FC3DAA" w:rsidRDefault="00FC3DAA">
            <w:pPr>
              <w:pStyle w:val="ConsPlusNormal"/>
            </w:pPr>
          </w:p>
        </w:tc>
        <w:tc>
          <w:tcPr>
            <w:tcW w:w="1361" w:type="dxa"/>
          </w:tcPr>
          <w:p w:rsidR="00FC3DAA" w:rsidRDefault="00FC3DAA">
            <w:pPr>
              <w:pStyle w:val="ConsPlusNormal"/>
            </w:pPr>
          </w:p>
        </w:tc>
        <w:tc>
          <w:tcPr>
            <w:tcW w:w="1814" w:type="dxa"/>
          </w:tcPr>
          <w:p w:rsidR="00FC3DAA" w:rsidRDefault="00FC3DAA">
            <w:pPr>
              <w:pStyle w:val="ConsPlusNormal"/>
            </w:pPr>
          </w:p>
        </w:tc>
        <w:tc>
          <w:tcPr>
            <w:tcW w:w="2211" w:type="dxa"/>
          </w:tcPr>
          <w:p w:rsidR="00FC3DAA" w:rsidRDefault="00FC3DAA">
            <w:pPr>
              <w:pStyle w:val="ConsPlusNormal"/>
            </w:pPr>
          </w:p>
        </w:tc>
        <w:tc>
          <w:tcPr>
            <w:tcW w:w="1701" w:type="dxa"/>
          </w:tcPr>
          <w:p w:rsidR="00FC3DAA" w:rsidRDefault="00FC3DAA">
            <w:pPr>
              <w:pStyle w:val="ConsPlusNormal"/>
            </w:pPr>
          </w:p>
        </w:tc>
      </w:tr>
    </w:tbl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jc w:val="both"/>
      </w:pPr>
    </w:p>
    <w:p w:rsidR="00FC3DAA" w:rsidRDefault="00FC3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59D" w:rsidRDefault="0022459D"/>
    <w:sectPr w:rsidR="0022459D" w:rsidSect="00A35D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C3DAA"/>
    <w:rsid w:val="000908B7"/>
    <w:rsid w:val="000E14B3"/>
    <w:rsid w:val="001D2E7F"/>
    <w:rsid w:val="0022459D"/>
    <w:rsid w:val="002C6F4F"/>
    <w:rsid w:val="002C7AEF"/>
    <w:rsid w:val="002F7509"/>
    <w:rsid w:val="00353265"/>
    <w:rsid w:val="003A657A"/>
    <w:rsid w:val="003C2D88"/>
    <w:rsid w:val="00487EC7"/>
    <w:rsid w:val="0052060F"/>
    <w:rsid w:val="005B65C0"/>
    <w:rsid w:val="00777850"/>
    <w:rsid w:val="00966A2B"/>
    <w:rsid w:val="00980AEA"/>
    <w:rsid w:val="009C21BC"/>
    <w:rsid w:val="00A00643"/>
    <w:rsid w:val="00A0676F"/>
    <w:rsid w:val="00A06BED"/>
    <w:rsid w:val="00A5406F"/>
    <w:rsid w:val="00AE3D09"/>
    <w:rsid w:val="00B545A5"/>
    <w:rsid w:val="00CB170B"/>
    <w:rsid w:val="00DB5276"/>
    <w:rsid w:val="00EF12C8"/>
    <w:rsid w:val="00F20ED1"/>
    <w:rsid w:val="00F95354"/>
    <w:rsid w:val="00FC3DAA"/>
    <w:rsid w:val="00FD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A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A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A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1CA2066A49FAD82F41EA6064103F6D6DACAB036FEC2BF599AB99FF4BBED11688918CCB67FB978AA2ADB486q5V9J" TargetMode="External"/><Relationship Id="rId13" Type="http://schemas.openxmlformats.org/officeDocument/2006/relationships/hyperlink" Target="consultantplus://offline/ref=BC791CA2066A49FAD82F41EA6064103F6E69ADAC0665EC2BF599AB99FF4BBED11688918CCB67FB978AA2ADB486q5V9J" TargetMode="External"/><Relationship Id="rId18" Type="http://schemas.openxmlformats.org/officeDocument/2006/relationships/hyperlink" Target="consultantplus://offline/ref=BC791CA2066A49FAD82F5FE776084F376B67FBA20B69E475ABC6F0C4A842B48643C790C28E6FE4978CBCACBC8F0FCCBD4D38EE02183F840699D101q8V6J" TargetMode="External"/><Relationship Id="rId26" Type="http://schemas.openxmlformats.org/officeDocument/2006/relationships/hyperlink" Target="consultantplus://offline/ref=BC791CA2066A49FAD82F5FE776084F376B67FBA20B69E475ABC6F0C4A842B48643C790C28E6FE4978CBCAAB18F0FCCBD4D38EE02183F840699D101q8V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791CA2066A49FAD82F5FE776084F376B67FBA20B69E475ABC6F0C4A842B48643C790C28E6FE4978CBCABB38F0FCCBD4D38EE02183F840699D101q8V6J" TargetMode="External"/><Relationship Id="rId34" Type="http://schemas.openxmlformats.org/officeDocument/2006/relationships/hyperlink" Target="consultantplus://offline/ref=BC791CA2066A49FAD82F5FE776084F376B67FBA20B69E475ABC6F0C4A842B48643C790C28E6FE4978CBCA9B58F0FCCBD4D38EE02183F840699D101q8V6J" TargetMode="External"/><Relationship Id="rId7" Type="http://schemas.openxmlformats.org/officeDocument/2006/relationships/hyperlink" Target="consultantplus://offline/ref=BC791CA2066A49FAD82F41EA6064103F6E6CA0AC0A6FEC2BF599AB99FF4BBED11688918CCB67FB978AA2ADB486q5V9J" TargetMode="External"/><Relationship Id="rId12" Type="http://schemas.openxmlformats.org/officeDocument/2006/relationships/hyperlink" Target="consultantplus://offline/ref=BC791CA2066A49FAD82F5FE776084F376B67FBA20B69E475ABC6F0C4A842B48643C790C28E6FE4978CBCAEB48F0FCCBD4D38EE02183F840699D101q8V6J" TargetMode="External"/><Relationship Id="rId17" Type="http://schemas.openxmlformats.org/officeDocument/2006/relationships/hyperlink" Target="consultantplus://offline/ref=BC791CA2066A49FAD82F5FE776084F376B67FBA20B69E475ABC6F0C4A842B48643C790C28E6FE4978CBCAEB08F0FCCBD4D38EE02183F840699D101q8V6J" TargetMode="External"/><Relationship Id="rId25" Type="http://schemas.openxmlformats.org/officeDocument/2006/relationships/hyperlink" Target="consultantplus://offline/ref=BC791CA2066A49FAD82F5FE776084F376B67FBA20B69E475ABC6F0C4A842B48643C790C28E6FE4978CBCAAB08F0FCCBD4D38EE02183F840699D101q8V6J" TargetMode="External"/><Relationship Id="rId33" Type="http://schemas.openxmlformats.org/officeDocument/2006/relationships/hyperlink" Target="consultantplus://offline/ref=BC791CA2066A49FAD82F5FE776084F376B67FBA20B69E475ABC6F0C4A842B48643C790C28E6FE4978CBCA9B68F0FCCBD4D38EE02183F840699D101q8V6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791CA2066A49FAD82F5FE776084F376B67FBA20B69E475ABC6F0C4A842B48643C790C28E6FE4978CBCAEB78F0FCCBD4D38EE02183F840699D101q8V6J" TargetMode="External"/><Relationship Id="rId20" Type="http://schemas.openxmlformats.org/officeDocument/2006/relationships/hyperlink" Target="consultantplus://offline/ref=BC791CA2066A49FAD82F5FE776084F376B67FBA20B69E475ABC6F0C4A842B48643C790C28E6FE4978CBCABB18F0FCCBD4D38EE02183F840699D101q8V6J" TargetMode="External"/><Relationship Id="rId29" Type="http://schemas.openxmlformats.org/officeDocument/2006/relationships/hyperlink" Target="consultantplus://offline/ref=BC791CA2066A49FAD82F5FE776084F376B67FBA20B69E475ABC6F0C4A842B48643C790C28E6FE4978CBCAAB38F0FCCBD4D38EE02183F840699D101q8V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1CA2066A49FAD82F41EA6064103F6B6DA6AA0668EC2BF599AB99FF4BBED10488C980CA62E4968BB7FBE5C00E90F81D2BEF01183D821Aq9V9J" TargetMode="External"/><Relationship Id="rId11" Type="http://schemas.openxmlformats.org/officeDocument/2006/relationships/hyperlink" Target="consultantplus://offline/ref=BC791CA2066A49FAD82F5FE776084F376B67FBA20B69E475ABC6F0C4A842B48643C790C28E6FE4978CBCA6B78F0FCCBD4D38EE02183F840699D101q8V6J" TargetMode="External"/><Relationship Id="rId24" Type="http://schemas.openxmlformats.org/officeDocument/2006/relationships/hyperlink" Target="consultantplus://offline/ref=BC791CA2066A49FAD82F5FE776084F376B67FBA20B69E475ABC6F0C4A842B48643C790C28E6FE4978CBCAAB78F0FCCBD4D38EE02183F840699D101q8V6J" TargetMode="External"/><Relationship Id="rId32" Type="http://schemas.openxmlformats.org/officeDocument/2006/relationships/hyperlink" Target="consultantplus://offline/ref=BC791CA2066A49FAD82F5FE776084F376B67FBA20B69E475ABC6F0C4A842B48643C790C28E6FE4978CBCAABC8F0FCCBD4D38EE02183F840699D101q8V6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C791CA2066A49FAD82F5FE776084F376B67FBA20B69E475ABC6F0C4A842B48643C790C28E6FE4978CBCAFB18F0FCCBD4D38EE02183F840699D101q8V6J" TargetMode="External"/><Relationship Id="rId15" Type="http://schemas.openxmlformats.org/officeDocument/2006/relationships/hyperlink" Target="consultantplus://offline/ref=BC791CA2066A49FAD82F5FE776084F376B67FBA20B69E475ABC6F0C4A842B48643C790C28E6FE4978CBCAEB58F0FCCBD4D38EE02183F840699D101q8V6J" TargetMode="External"/><Relationship Id="rId23" Type="http://schemas.openxmlformats.org/officeDocument/2006/relationships/hyperlink" Target="consultantplus://offline/ref=BC791CA2066A49FAD82F5FE776084F376B67FBA20B69E475ABC6F0C4A842B48643C790C28E6FE4978CBCAAB58F0FCCBD4D38EE02183F840699D101q8V6J" TargetMode="External"/><Relationship Id="rId28" Type="http://schemas.openxmlformats.org/officeDocument/2006/relationships/hyperlink" Target="consultantplus://offline/ref=BC791CA2066A49FAD82F5FE776084F376B67FBA20B69E475ABC6F0C4A842B48643C790C28E6FE4978CBCAAB28F0FCCBD4D38EE02183F840699D101q8V6J" TargetMode="External"/><Relationship Id="rId36" Type="http://schemas.openxmlformats.org/officeDocument/2006/relationships/hyperlink" Target="consultantplus://offline/ref=BC791CA2066A49FAD82F5FE776084F376B67FBA20B69E475ABC6F0C4A842B48643C790C28E6FE4978CBCA9BD8F0FCCBD4D38EE02183F840699D101q8V6J" TargetMode="External"/><Relationship Id="rId10" Type="http://schemas.openxmlformats.org/officeDocument/2006/relationships/hyperlink" Target="consultantplus://offline/ref=BC791CA2066A49FAD82F5FE776084F376B67FBA20B69E475ABC6F0C4A842B48643C790C28E6FE4978CBCAFB28F0FCCBD4D38EE02183F840699D101q8V6J" TargetMode="External"/><Relationship Id="rId19" Type="http://schemas.openxmlformats.org/officeDocument/2006/relationships/hyperlink" Target="consultantplus://offline/ref=BC791CA2066A49FAD82F5FE776084F376B67FBA20B69E475ABC6F0C4A842B48643C790C28E6FE4978CBCABB78F0FCCBD4D38EE02183F840699D101q8V6J" TargetMode="External"/><Relationship Id="rId31" Type="http://schemas.openxmlformats.org/officeDocument/2006/relationships/hyperlink" Target="consultantplus://offline/ref=BC791CA2066A49FAD82F41EA6064103F6C6BA6AD0B6DEC2BF599AB99FF4BBED11688918CCB67FB978AA2ADB486q5V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791CA2066A49FAD82F5FE776084F376B67FBA20B6EE07AA0C6F0C4A842B48643C790C28E6FE4978CBCA7B28F0FCCBD4D38EE02183F840699D101q8V6J" TargetMode="External"/><Relationship Id="rId14" Type="http://schemas.openxmlformats.org/officeDocument/2006/relationships/hyperlink" Target="consultantplus://offline/ref=BC791CA2066A49FAD82F41EA6064103F6E6BA2AF0265EC2BF599AB99FF4BBED11688918CCB67FB978AA2ADB486q5V9J" TargetMode="External"/><Relationship Id="rId22" Type="http://schemas.openxmlformats.org/officeDocument/2006/relationships/hyperlink" Target="consultantplus://offline/ref=BC791CA2066A49FAD82F5FE776084F376B67FBA20B69E475ABC6F0C4A842B48643C790C28E6FE4978CBCABBC8F0FCCBD4D38EE02183F840699D101q8V6J" TargetMode="External"/><Relationship Id="rId27" Type="http://schemas.openxmlformats.org/officeDocument/2006/relationships/hyperlink" Target="consultantplus://offline/ref=BC791CA2066A49FAD82F5FE776084F376B67FBA20B69E475ABC6F0C4A842B48643C790C28E6FE4978CBCAAB28F0FCCBD4D38EE02183F840699D101q8V6J" TargetMode="External"/><Relationship Id="rId30" Type="http://schemas.openxmlformats.org/officeDocument/2006/relationships/hyperlink" Target="consultantplus://offline/ref=BC791CA2066A49FAD82F41EA6064103F6B6DA6AA0668EC2BF599AB99FF4BBED11688918CCB67FB978AA2ADB486q5V9J" TargetMode="External"/><Relationship Id="rId35" Type="http://schemas.openxmlformats.org/officeDocument/2006/relationships/hyperlink" Target="consultantplus://offline/ref=BC791CA2066A49FAD82F5FE776084F376B67FBA20B69E475ABC6F0C4A842B48643C790C28E6FE4978CBCA9B78F0FCCBD4D38EE02183F840699D101q8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6822</Words>
  <Characters>38887</Characters>
  <Application>Microsoft Office Word</Application>
  <DocSecurity>0</DocSecurity>
  <Lines>324</Lines>
  <Paragraphs>91</Paragraphs>
  <ScaleCrop>false</ScaleCrop>
  <Company>Microsoft</Company>
  <LinksUpToDate>false</LinksUpToDate>
  <CharactersWithSpaces>45618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2022-06-15T09:21:00Z</dcterms:created>
  <dcterms:modified xsi:type="dcterms:W3CDTF">2022-06-15T09:23:00Z</dcterms:modified>
</cp:coreProperties>
</file>